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20F8B" w14:textId="249BDE81" w:rsidR="00655643" w:rsidRPr="00655643" w:rsidRDefault="00655643" w:rsidP="00655643">
      <w:bookmarkStart w:id="0" w:name="_GoBack"/>
      <w:bookmarkEnd w:id="0"/>
      <w:r w:rsidRPr="00655643">
        <w:t>This is an updated list of projects aimed at exploring reasons for the changing mortality rates in Scotland and the UK. They have all been discussed withi</w:t>
      </w:r>
      <w:r w:rsidR="009D1AAE">
        <w:t>n and/or undertaken under the auspices of</w:t>
      </w:r>
      <w:r w:rsidRPr="00655643">
        <w:t xml:space="preserve"> the Mortality Special Interest Group (SIG). </w:t>
      </w:r>
    </w:p>
    <w:tbl>
      <w:tblPr>
        <w:tblStyle w:val="TableGrid"/>
        <w:tblW w:w="0" w:type="auto"/>
        <w:tblLook w:val="04A0" w:firstRow="1" w:lastRow="0" w:firstColumn="1" w:lastColumn="0" w:noHBand="0" w:noVBand="1"/>
      </w:tblPr>
      <w:tblGrid>
        <w:gridCol w:w="1605"/>
        <w:gridCol w:w="1851"/>
        <w:gridCol w:w="4477"/>
        <w:gridCol w:w="2127"/>
        <w:gridCol w:w="3888"/>
      </w:tblGrid>
      <w:tr w:rsidR="00655643" w:rsidRPr="00655643" w14:paraId="6A27DDE3" w14:textId="77777777" w:rsidTr="00655643">
        <w:trPr>
          <w:trHeight w:val="300"/>
          <w:tblHeader/>
        </w:trPr>
        <w:tc>
          <w:tcPr>
            <w:tcW w:w="0" w:type="auto"/>
            <w:noWrap/>
            <w:hideMark/>
          </w:tcPr>
          <w:p w14:paraId="216B4D2C" w14:textId="77777777" w:rsidR="00655643" w:rsidRPr="00655643" w:rsidRDefault="00655643" w:rsidP="00655643">
            <w:pPr>
              <w:spacing w:after="160" w:line="259" w:lineRule="auto"/>
              <w:rPr>
                <w:b/>
                <w:bCs/>
              </w:rPr>
            </w:pPr>
            <w:r w:rsidRPr="00655643">
              <w:rPr>
                <w:b/>
                <w:bCs/>
              </w:rPr>
              <w:t>Broad category</w:t>
            </w:r>
          </w:p>
        </w:tc>
        <w:tc>
          <w:tcPr>
            <w:tcW w:w="0" w:type="auto"/>
            <w:hideMark/>
          </w:tcPr>
          <w:p w14:paraId="2C7C4643" w14:textId="77777777" w:rsidR="00655643" w:rsidRPr="00655643" w:rsidRDefault="00655643" w:rsidP="00655643">
            <w:pPr>
              <w:spacing w:after="160" w:line="259" w:lineRule="auto"/>
              <w:rPr>
                <w:b/>
                <w:bCs/>
              </w:rPr>
            </w:pPr>
            <w:r w:rsidRPr="00655643">
              <w:rPr>
                <w:b/>
                <w:bCs/>
              </w:rPr>
              <w:t>Project title</w:t>
            </w:r>
          </w:p>
        </w:tc>
        <w:tc>
          <w:tcPr>
            <w:tcW w:w="4477" w:type="dxa"/>
            <w:hideMark/>
          </w:tcPr>
          <w:p w14:paraId="36A03170" w14:textId="77777777" w:rsidR="00655643" w:rsidRPr="00655643" w:rsidRDefault="00655643" w:rsidP="00655643">
            <w:pPr>
              <w:spacing w:after="160" w:line="259" w:lineRule="auto"/>
              <w:rPr>
                <w:b/>
                <w:bCs/>
              </w:rPr>
            </w:pPr>
            <w:r w:rsidRPr="00655643">
              <w:rPr>
                <w:b/>
                <w:bCs/>
              </w:rPr>
              <w:t>Brief description</w:t>
            </w:r>
          </w:p>
        </w:tc>
        <w:tc>
          <w:tcPr>
            <w:tcW w:w="2127" w:type="dxa"/>
            <w:noWrap/>
            <w:hideMark/>
          </w:tcPr>
          <w:p w14:paraId="3A9558E6" w14:textId="77777777" w:rsidR="00655643" w:rsidRPr="00655643" w:rsidRDefault="00655643" w:rsidP="00655643">
            <w:pPr>
              <w:spacing w:after="160" w:line="259" w:lineRule="auto"/>
              <w:rPr>
                <w:b/>
                <w:bCs/>
              </w:rPr>
            </w:pPr>
            <w:r w:rsidRPr="00655643">
              <w:rPr>
                <w:b/>
                <w:bCs/>
              </w:rPr>
              <w:t>Lead(s)</w:t>
            </w:r>
          </w:p>
        </w:tc>
        <w:tc>
          <w:tcPr>
            <w:tcW w:w="3888" w:type="dxa"/>
            <w:shd w:val="clear" w:color="auto" w:fill="E7E6E6" w:themeFill="background2"/>
          </w:tcPr>
          <w:p w14:paraId="0E8046C6" w14:textId="77777777" w:rsidR="00655643" w:rsidRPr="00655643" w:rsidRDefault="00655643" w:rsidP="00655643">
            <w:pPr>
              <w:spacing w:after="160" w:line="259" w:lineRule="auto"/>
              <w:rPr>
                <w:b/>
                <w:bCs/>
              </w:rPr>
            </w:pPr>
            <w:r w:rsidRPr="00655643">
              <w:rPr>
                <w:b/>
                <w:bCs/>
              </w:rPr>
              <w:t>Update May 2021</w:t>
            </w:r>
          </w:p>
        </w:tc>
      </w:tr>
      <w:tr w:rsidR="00655643" w:rsidRPr="00655643" w14:paraId="3D77B962" w14:textId="77777777" w:rsidTr="00655643">
        <w:trPr>
          <w:trHeight w:val="600"/>
        </w:trPr>
        <w:tc>
          <w:tcPr>
            <w:tcW w:w="0" w:type="auto"/>
            <w:noWrap/>
            <w:hideMark/>
          </w:tcPr>
          <w:p w14:paraId="16784401" w14:textId="77777777" w:rsidR="00655643" w:rsidRPr="00655643" w:rsidRDefault="00655643" w:rsidP="00655643">
            <w:pPr>
              <w:spacing w:after="160" w:line="259" w:lineRule="auto"/>
            </w:pPr>
            <w:r w:rsidRPr="00655643">
              <w:t>Artefact</w:t>
            </w:r>
          </w:p>
        </w:tc>
        <w:tc>
          <w:tcPr>
            <w:tcW w:w="0" w:type="auto"/>
            <w:hideMark/>
          </w:tcPr>
          <w:p w14:paraId="1ED59B7A" w14:textId="77777777" w:rsidR="00655643" w:rsidRPr="00655643" w:rsidRDefault="00655643" w:rsidP="00655643">
            <w:pPr>
              <w:spacing w:after="160" w:line="259" w:lineRule="auto"/>
            </w:pPr>
            <w:bookmarkStart w:id="1" w:name="_Hlk70522773"/>
            <w:r w:rsidRPr="00655643">
              <w:t xml:space="preserve">Chance  </w:t>
            </w:r>
            <w:bookmarkEnd w:id="1"/>
          </w:p>
        </w:tc>
        <w:tc>
          <w:tcPr>
            <w:tcW w:w="4477" w:type="dxa"/>
            <w:hideMark/>
          </w:tcPr>
          <w:p w14:paraId="03BA6B3E" w14:textId="77777777" w:rsidR="00655643" w:rsidRPr="00655643" w:rsidRDefault="00655643" w:rsidP="00655643">
            <w:pPr>
              <w:spacing w:after="160" w:line="259" w:lineRule="auto"/>
            </w:pPr>
            <w:bookmarkStart w:id="2" w:name="_Hlk70520923"/>
            <w:r w:rsidRPr="00655643">
              <w:t>Examining using Bayes factors the extent to which the trends can be explained by chance</w:t>
            </w:r>
            <w:bookmarkEnd w:id="2"/>
          </w:p>
        </w:tc>
        <w:tc>
          <w:tcPr>
            <w:tcW w:w="2127" w:type="dxa"/>
            <w:noWrap/>
            <w:hideMark/>
          </w:tcPr>
          <w:p w14:paraId="21B0EDC9" w14:textId="77777777" w:rsidR="00655643" w:rsidRPr="00655643" w:rsidRDefault="00655643" w:rsidP="00655643">
            <w:pPr>
              <w:spacing w:after="160" w:line="259" w:lineRule="auto"/>
            </w:pPr>
            <w:r w:rsidRPr="00655643">
              <w:t>Jon Minton and Rebecca Devine</w:t>
            </w:r>
          </w:p>
        </w:tc>
        <w:tc>
          <w:tcPr>
            <w:tcW w:w="3888" w:type="dxa"/>
            <w:shd w:val="clear" w:color="auto" w:fill="E7E6E6" w:themeFill="background2"/>
          </w:tcPr>
          <w:p w14:paraId="1B9EFDB5" w14:textId="77777777" w:rsidR="00655643" w:rsidRPr="00655643" w:rsidRDefault="00655643" w:rsidP="00655643">
            <w:pPr>
              <w:spacing w:after="160" w:line="259" w:lineRule="auto"/>
            </w:pPr>
            <w:r w:rsidRPr="00655643">
              <w:t>Delayed because of Covid</w:t>
            </w:r>
          </w:p>
        </w:tc>
      </w:tr>
      <w:tr w:rsidR="00655643" w:rsidRPr="00655643" w14:paraId="7F09B401" w14:textId="77777777" w:rsidTr="00655643">
        <w:trPr>
          <w:trHeight w:val="600"/>
        </w:trPr>
        <w:tc>
          <w:tcPr>
            <w:tcW w:w="0" w:type="auto"/>
            <w:noWrap/>
            <w:hideMark/>
          </w:tcPr>
          <w:p w14:paraId="350FBA05" w14:textId="77777777" w:rsidR="00655643" w:rsidRPr="00655643" w:rsidRDefault="00655643" w:rsidP="00655643">
            <w:pPr>
              <w:spacing w:after="160" w:line="259" w:lineRule="auto"/>
            </w:pPr>
            <w:r w:rsidRPr="00655643">
              <w:t>Austerity</w:t>
            </w:r>
          </w:p>
        </w:tc>
        <w:tc>
          <w:tcPr>
            <w:tcW w:w="0" w:type="auto"/>
            <w:hideMark/>
          </w:tcPr>
          <w:p w14:paraId="37602E5B" w14:textId="77777777" w:rsidR="00655643" w:rsidRPr="00655643" w:rsidRDefault="00655643" w:rsidP="00655643">
            <w:pPr>
              <w:spacing w:after="160" w:line="259" w:lineRule="auto"/>
            </w:pPr>
            <w:r w:rsidRPr="00655643">
              <w:t>Impact of changes to social security on mortality</w:t>
            </w:r>
          </w:p>
        </w:tc>
        <w:tc>
          <w:tcPr>
            <w:tcW w:w="4477" w:type="dxa"/>
            <w:hideMark/>
          </w:tcPr>
          <w:p w14:paraId="7FDF190B" w14:textId="77777777" w:rsidR="00655643" w:rsidRPr="00655643" w:rsidRDefault="00655643" w:rsidP="00655643">
            <w:pPr>
              <w:spacing w:after="160" w:line="259" w:lineRule="auto"/>
            </w:pPr>
            <w:r w:rsidRPr="00655643">
              <w:t>Adaptation of Triple I model to estimate contribution of changes to social security to the trends</w:t>
            </w:r>
          </w:p>
        </w:tc>
        <w:tc>
          <w:tcPr>
            <w:tcW w:w="2127" w:type="dxa"/>
            <w:noWrap/>
            <w:hideMark/>
          </w:tcPr>
          <w:p w14:paraId="2CD0BFD8" w14:textId="77777777" w:rsidR="00655643" w:rsidRPr="00655643" w:rsidRDefault="00655643" w:rsidP="00655643">
            <w:pPr>
              <w:spacing w:after="160" w:line="259" w:lineRule="auto"/>
            </w:pPr>
            <w:r w:rsidRPr="00655643">
              <w:t>Liz Richardson/ Martin Taulbut</w:t>
            </w:r>
          </w:p>
        </w:tc>
        <w:tc>
          <w:tcPr>
            <w:tcW w:w="3888" w:type="dxa"/>
            <w:shd w:val="clear" w:color="auto" w:fill="E7E6E6" w:themeFill="background2"/>
          </w:tcPr>
          <w:p w14:paraId="5F5C9D41" w14:textId="77777777" w:rsidR="00655643" w:rsidRPr="00655643" w:rsidRDefault="00655643" w:rsidP="00655643">
            <w:pPr>
              <w:spacing w:after="160" w:line="259" w:lineRule="auto"/>
            </w:pPr>
            <w:r w:rsidRPr="00655643">
              <w:sym w:font="Wingdings 2" w:char="F050"/>
            </w:r>
            <w:r w:rsidRPr="00655643">
              <w:t xml:space="preserve"> Published in JECH</w:t>
            </w:r>
            <w:r w:rsidRPr="00655643">
              <w:rPr>
                <w:vertAlign w:val="superscript"/>
              </w:rPr>
              <w:endnoteReference w:id="1"/>
            </w:r>
          </w:p>
        </w:tc>
      </w:tr>
      <w:tr w:rsidR="00655643" w:rsidRPr="00655643" w14:paraId="5B9FB2C2" w14:textId="77777777" w:rsidTr="00655643">
        <w:trPr>
          <w:trHeight w:val="300"/>
        </w:trPr>
        <w:tc>
          <w:tcPr>
            <w:tcW w:w="0" w:type="auto"/>
            <w:noWrap/>
            <w:hideMark/>
          </w:tcPr>
          <w:p w14:paraId="324B920F" w14:textId="77777777" w:rsidR="00655643" w:rsidRPr="00655643" w:rsidRDefault="00655643" w:rsidP="00655643">
            <w:pPr>
              <w:spacing w:after="160" w:line="259" w:lineRule="auto"/>
            </w:pPr>
            <w:r w:rsidRPr="00655643">
              <w:t>Austerity</w:t>
            </w:r>
          </w:p>
        </w:tc>
        <w:tc>
          <w:tcPr>
            <w:tcW w:w="0" w:type="auto"/>
            <w:hideMark/>
          </w:tcPr>
          <w:p w14:paraId="182F217E" w14:textId="77777777" w:rsidR="00655643" w:rsidRPr="00655643" w:rsidRDefault="00655643" w:rsidP="00655643">
            <w:pPr>
              <w:spacing w:after="160" w:line="259" w:lineRule="auto"/>
            </w:pPr>
            <w:r w:rsidRPr="00655643">
              <w:t xml:space="preserve">International analysis </w:t>
            </w:r>
          </w:p>
        </w:tc>
        <w:tc>
          <w:tcPr>
            <w:tcW w:w="4477" w:type="dxa"/>
            <w:hideMark/>
          </w:tcPr>
          <w:p w14:paraId="6324A2A8" w14:textId="77777777" w:rsidR="00655643" w:rsidRPr="00655643" w:rsidRDefault="00655643" w:rsidP="00655643">
            <w:pPr>
              <w:spacing w:after="160" w:line="259" w:lineRule="auto"/>
            </w:pPr>
            <w:r w:rsidRPr="00655643">
              <w:t>Analysis of the international datasets based on the austerity protocol</w:t>
            </w:r>
          </w:p>
        </w:tc>
        <w:tc>
          <w:tcPr>
            <w:tcW w:w="2127" w:type="dxa"/>
            <w:noWrap/>
            <w:hideMark/>
          </w:tcPr>
          <w:p w14:paraId="0F80F69A" w14:textId="77777777" w:rsidR="00655643" w:rsidRPr="00655643" w:rsidRDefault="00655643" w:rsidP="00655643">
            <w:pPr>
              <w:spacing w:after="160" w:line="259" w:lineRule="auto"/>
            </w:pPr>
            <w:r w:rsidRPr="00655643">
              <w:t>Gerry McCartney</w:t>
            </w:r>
          </w:p>
        </w:tc>
        <w:tc>
          <w:tcPr>
            <w:tcW w:w="3888" w:type="dxa"/>
            <w:shd w:val="clear" w:color="auto" w:fill="E7E6E6" w:themeFill="background2"/>
          </w:tcPr>
          <w:p w14:paraId="352EB342" w14:textId="3CEE4232" w:rsidR="00655643" w:rsidRPr="00655643" w:rsidRDefault="00655643" w:rsidP="00655643">
            <w:pPr>
              <w:spacing w:after="160" w:line="259" w:lineRule="auto"/>
            </w:pPr>
            <w:r w:rsidRPr="00655643">
              <w:t>This is part of GM’s PhD. Various analyses have been complete with results available c. mid-2021.</w:t>
            </w:r>
          </w:p>
        </w:tc>
      </w:tr>
      <w:tr w:rsidR="00655643" w:rsidRPr="00655643" w14:paraId="63860715" w14:textId="77777777" w:rsidTr="00655643">
        <w:trPr>
          <w:trHeight w:val="300"/>
        </w:trPr>
        <w:tc>
          <w:tcPr>
            <w:tcW w:w="0" w:type="auto"/>
            <w:noWrap/>
            <w:hideMark/>
          </w:tcPr>
          <w:p w14:paraId="189996C5" w14:textId="77777777" w:rsidR="00655643" w:rsidRPr="00655643" w:rsidRDefault="00655643" w:rsidP="00655643">
            <w:pPr>
              <w:spacing w:after="160" w:line="259" w:lineRule="auto"/>
            </w:pPr>
            <w:r w:rsidRPr="00655643">
              <w:t>Austerity</w:t>
            </w:r>
          </w:p>
        </w:tc>
        <w:tc>
          <w:tcPr>
            <w:tcW w:w="0" w:type="auto"/>
            <w:hideMark/>
          </w:tcPr>
          <w:p w14:paraId="5739B252" w14:textId="77777777" w:rsidR="00655643" w:rsidRPr="00655643" w:rsidRDefault="00655643" w:rsidP="00655643">
            <w:pPr>
              <w:spacing w:after="160" w:line="259" w:lineRule="auto"/>
            </w:pPr>
            <w:r w:rsidRPr="00655643">
              <w:t>Intra-UK analysis</w:t>
            </w:r>
          </w:p>
        </w:tc>
        <w:tc>
          <w:tcPr>
            <w:tcW w:w="4477" w:type="dxa"/>
            <w:hideMark/>
          </w:tcPr>
          <w:p w14:paraId="5B7ADAD0" w14:textId="77777777" w:rsidR="00655643" w:rsidRPr="00655643" w:rsidRDefault="00655643" w:rsidP="00655643">
            <w:pPr>
              <w:spacing w:after="160" w:line="259" w:lineRule="auto"/>
            </w:pPr>
            <w:r w:rsidRPr="00655643">
              <w:t>Analysis of the impact of varying austerity within UK</w:t>
            </w:r>
          </w:p>
        </w:tc>
        <w:tc>
          <w:tcPr>
            <w:tcW w:w="2127" w:type="dxa"/>
            <w:noWrap/>
            <w:hideMark/>
          </w:tcPr>
          <w:p w14:paraId="13295467" w14:textId="2C227B09" w:rsidR="00655643" w:rsidRPr="00655643" w:rsidRDefault="00655643" w:rsidP="00655643">
            <w:pPr>
              <w:spacing w:after="160" w:line="259" w:lineRule="auto"/>
            </w:pPr>
            <w:r w:rsidRPr="00655643">
              <w:t>DW/GM</w:t>
            </w:r>
          </w:p>
        </w:tc>
        <w:tc>
          <w:tcPr>
            <w:tcW w:w="3888" w:type="dxa"/>
            <w:shd w:val="clear" w:color="auto" w:fill="E7E6E6" w:themeFill="background2"/>
          </w:tcPr>
          <w:p w14:paraId="5C632B6E" w14:textId="1B6E541B" w:rsidR="00655643" w:rsidRPr="00655643" w:rsidRDefault="00655643" w:rsidP="00655643">
            <w:pPr>
              <w:spacing w:after="160" w:line="259" w:lineRule="auto"/>
            </w:pPr>
            <w:r w:rsidRPr="00655643">
              <w:t>The original proposed analyses (intended to be included as part of GM’s PhD) were not done. However, a new, short-term, project has been now proposed. This will examine different measures of austerity and changes-in-mortality outcomes at local authority level across the UK.</w:t>
            </w:r>
          </w:p>
        </w:tc>
      </w:tr>
      <w:tr w:rsidR="00655643" w:rsidRPr="00655643" w14:paraId="0F2FC05A" w14:textId="77777777" w:rsidTr="00655643">
        <w:trPr>
          <w:trHeight w:val="300"/>
        </w:trPr>
        <w:tc>
          <w:tcPr>
            <w:tcW w:w="0" w:type="auto"/>
            <w:noWrap/>
            <w:hideMark/>
          </w:tcPr>
          <w:p w14:paraId="27CA8E97" w14:textId="77777777" w:rsidR="00655643" w:rsidRPr="00655643" w:rsidRDefault="00655643" w:rsidP="00655643">
            <w:pPr>
              <w:spacing w:after="160" w:line="259" w:lineRule="auto"/>
            </w:pPr>
            <w:r w:rsidRPr="00655643">
              <w:t>Austerity</w:t>
            </w:r>
          </w:p>
        </w:tc>
        <w:tc>
          <w:tcPr>
            <w:tcW w:w="0" w:type="auto"/>
            <w:hideMark/>
          </w:tcPr>
          <w:p w14:paraId="20CD0828" w14:textId="77777777" w:rsidR="00655643" w:rsidRPr="00655643" w:rsidRDefault="00655643" w:rsidP="00655643">
            <w:pPr>
              <w:spacing w:after="160" w:line="259" w:lineRule="auto"/>
            </w:pPr>
            <w:r w:rsidRPr="00655643">
              <w:t>Austerity protocol</w:t>
            </w:r>
          </w:p>
        </w:tc>
        <w:tc>
          <w:tcPr>
            <w:tcW w:w="4477" w:type="dxa"/>
            <w:hideMark/>
          </w:tcPr>
          <w:p w14:paraId="74BE9D13" w14:textId="77777777" w:rsidR="00655643" w:rsidRPr="00655643" w:rsidRDefault="00655643" w:rsidP="00655643">
            <w:pPr>
              <w:spacing w:after="160" w:line="259" w:lineRule="auto"/>
            </w:pPr>
            <w:r w:rsidRPr="00655643">
              <w:t>Protocol for testing the austerity hypothesis with more up to date data (NB protocol for the main analyses included within Gerry’s PhD)</w:t>
            </w:r>
          </w:p>
          <w:p w14:paraId="4F9CEB18" w14:textId="77777777" w:rsidR="00655643" w:rsidRPr="00655643" w:rsidRDefault="00655643" w:rsidP="00655643">
            <w:pPr>
              <w:spacing w:after="160" w:line="259" w:lineRule="auto"/>
            </w:pPr>
          </w:p>
        </w:tc>
        <w:tc>
          <w:tcPr>
            <w:tcW w:w="2127" w:type="dxa"/>
            <w:noWrap/>
            <w:hideMark/>
          </w:tcPr>
          <w:p w14:paraId="51F3E809" w14:textId="77777777" w:rsidR="00655643" w:rsidRPr="00655643" w:rsidRDefault="00655643" w:rsidP="00655643">
            <w:pPr>
              <w:spacing w:after="160" w:line="259" w:lineRule="auto"/>
            </w:pPr>
            <w:r w:rsidRPr="00655643">
              <w:t>Gerry McCartney</w:t>
            </w:r>
          </w:p>
        </w:tc>
        <w:tc>
          <w:tcPr>
            <w:tcW w:w="3888" w:type="dxa"/>
            <w:shd w:val="clear" w:color="auto" w:fill="E7E6E6" w:themeFill="background2"/>
          </w:tcPr>
          <w:p w14:paraId="151985D4" w14:textId="77777777" w:rsidR="00655643" w:rsidRPr="00655643" w:rsidRDefault="00655643" w:rsidP="00655643">
            <w:pPr>
              <w:spacing w:after="160" w:line="259" w:lineRule="auto"/>
            </w:pPr>
            <w:r w:rsidRPr="00655643">
              <w:sym w:font="Wingdings 2" w:char="F050"/>
            </w:r>
            <w:r w:rsidRPr="00655643">
              <w:t xml:space="preserve"> Published in BMJ Open</w:t>
            </w:r>
            <w:r w:rsidRPr="00655643">
              <w:rPr>
                <w:vertAlign w:val="superscript"/>
              </w:rPr>
              <w:endnoteReference w:id="2"/>
            </w:r>
          </w:p>
        </w:tc>
      </w:tr>
      <w:tr w:rsidR="00655643" w:rsidRPr="00655643" w14:paraId="69C682B4" w14:textId="77777777" w:rsidTr="00655643">
        <w:trPr>
          <w:trHeight w:val="300"/>
        </w:trPr>
        <w:tc>
          <w:tcPr>
            <w:tcW w:w="0" w:type="auto"/>
            <w:noWrap/>
            <w:hideMark/>
          </w:tcPr>
          <w:p w14:paraId="35F30839" w14:textId="77777777" w:rsidR="00655643" w:rsidRPr="00655643" w:rsidRDefault="00655643" w:rsidP="00655643">
            <w:pPr>
              <w:spacing w:after="160" w:line="259" w:lineRule="auto"/>
            </w:pPr>
            <w:r w:rsidRPr="00655643">
              <w:t>Austerity</w:t>
            </w:r>
          </w:p>
        </w:tc>
        <w:tc>
          <w:tcPr>
            <w:tcW w:w="0" w:type="auto"/>
            <w:hideMark/>
          </w:tcPr>
          <w:p w14:paraId="478F5024" w14:textId="77777777" w:rsidR="00655643" w:rsidRPr="00655643" w:rsidRDefault="00655643" w:rsidP="00655643">
            <w:pPr>
              <w:spacing w:after="160" w:line="259" w:lineRule="auto"/>
            </w:pPr>
            <w:r w:rsidRPr="00655643">
              <w:t>Systematic review</w:t>
            </w:r>
          </w:p>
        </w:tc>
        <w:tc>
          <w:tcPr>
            <w:tcW w:w="4477" w:type="dxa"/>
            <w:hideMark/>
          </w:tcPr>
          <w:p w14:paraId="60026252" w14:textId="77777777" w:rsidR="00655643" w:rsidRPr="00655643" w:rsidRDefault="00655643" w:rsidP="00655643">
            <w:pPr>
              <w:spacing w:after="160" w:line="259" w:lineRule="auto"/>
            </w:pPr>
            <w:r w:rsidRPr="00655643">
              <w:t>Systematic review of the relationship between austerity and mortality</w:t>
            </w:r>
          </w:p>
        </w:tc>
        <w:tc>
          <w:tcPr>
            <w:tcW w:w="2127" w:type="dxa"/>
            <w:noWrap/>
            <w:hideMark/>
          </w:tcPr>
          <w:p w14:paraId="5682DD8C" w14:textId="47D1163C" w:rsidR="00655643" w:rsidRPr="00655643" w:rsidRDefault="00655643" w:rsidP="00655643">
            <w:pPr>
              <w:spacing w:after="160" w:line="259" w:lineRule="auto"/>
            </w:pPr>
            <w:r w:rsidRPr="00655643">
              <w:t>Phil Broadbent</w:t>
            </w:r>
          </w:p>
        </w:tc>
        <w:tc>
          <w:tcPr>
            <w:tcW w:w="3888" w:type="dxa"/>
            <w:shd w:val="clear" w:color="auto" w:fill="E7E6E6" w:themeFill="background2"/>
          </w:tcPr>
          <w:p w14:paraId="757A2410" w14:textId="77777777" w:rsidR="00655643" w:rsidRPr="00655643" w:rsidRDefault="00655643" w:rsidP="00655643">
            <w:pPr>
              <w:spacing w:after="160" w:line="259" w:lineRule="auto"/>
            </w:pPr>
            <w:r w:rsidRPr="00655643">
              <w:t>This is ongoing – being undertaken as part of Phil Broadbent’s MPH (with DW &amp; GM).</w:t>
            </w:r>
          </w:p>
        </w:tc>
      </w:tr>
      <w:tr w:rsidR="00655643" w:rsidRPr="00655643" w14:paraId="7BA245A6" w14:textId="77777777" w:rsidTr="00655643">
        <w:trPr>
          <w:trHeight w:val="600"/>
        </w:trPr>
        <w:tc>
          <w:tcPr>
            <w:tcW w:w="0" w:type="auto"/>
            <w:noWrap/>
            <w:hideMark/>
          </w:tcPr>
          <w:p w14:paraId="7F912E32" w14:textId="77777777" w:rsidR="00655643" w:rsidRPr="00655643" w:rsidRDefault="00655643" w:rsidP="00655643">
            <w:pPr>
              <w:spacing w:after="160" w:line="259" w:lineRule="auto"/>
            </w:pPr>
            <w:r w:rsidRPr="00655643">
              <w:t>Circulatory</w:t>
            </w:r>
          </w:p>
        </w:tc>
        <w:tc>
          <w:tcPr>
            <w:tcW w:w="0" w:type="auto"/>
            <w:hideMark/>
          </w:tcPr>
          <w:p w14:paraId="7FA62933" w14:textId="77777777" w:rsidR="00655643" w:rsidRPr="00655643" w:rsidRDefault="00655643" w:rsidP="00655643">
            <w:pPr>
              <w:spacing w:after="160" w:line="259" w:lineRule="auto"/>
            </w:pPr>
            <w:r w:rsidRPr="00655643">
              <w:t>Triple I modelling</w:t>
            </w:r>
          </w:p>
        </w:tc>
        <w:tc>
          <w:tcPr>
            <w:tcW w:w="4477" w:type="dxa"/>
            <w:hideMark/>
          </w:tcPr>
          <w:p w14:paraId="24877F3E" w14:textId="77777777" w:rsidR="00655643" w:rsidRPr="00655643" w:rsidRDefault="00655643" w:rsidP="00655643">
            <w:pPr>
              <w:spacing w:after="160" w:line="259" w:lineRule="auto"/>
            </w:pPr>
            <w:r w:rsidRPr="00655643">
              <w:t>Using Triple I tool to estimate the likely impact of increases in obesity prevalence on changing mortality outcomes.</w:t>
            </w:r>
          </w:p>
        </w:tc>
        <w:tc>
          <w:tcPr>
            <w:tcW w:w="2127" w:type="dxa"/>
            <w:noWrap/>
            <w:hideMark/>
          </w:tcPr>
          <w:p w14:paraId="7D292EC8" w14:textId="77777777" w:rsidR="00655643" w:rsidRPr="00655643" w:rsidRDefault="00655643" w:rsidP="00655643">
            <w:pPr>
              <w:spacing w:after="160" w:line="259" w:lineRule="auto"/>
            </w:pPr>
            <w:r w:rsidRPr="00655643">
              <w:t>DW</w:t>
            </w:r>
          </w:p>
        </w:tc>
        <w:tc>
          <w:tcPr>
            <w:tcW w:w="3888" w:type="dxa"/>
            <w:shd w:val="clear" w:color="auto" w:fill="E7E6E6" w:themeFill="background2"/>
          </w:tcPr>
          <w:p w14:paraId="5A1891E8" w14:textId="729D3E69" w:rsidR="00655643" w:rsidRPr="00655643" w:rsidRDefault="00655643" w:rsidP="00655643">
            <w:pPr>
              <w:spacing w:after="160" w:line="259" w:lineRule="auto"/>
            </w:pPr>
            <w:r w:rsidRPr="00655643">
              <w:t>This was originally work led by Katy Levin (later passed to DW) based on use of the IMPACT tool. However, after further investigation, it transpired that IMPACT wasn’t an appropriate tool to use for this purpose. New work using Triple I (and with help from Liz Richardson) is now being undertaken instead.</w:t>
            </w:r>
          </w:p>
        </w:tc>
      </w:tr>
      <w:tr w:rsidR="00655643" w:rsidRPr="00655643" w14:paraId="6923455B" w14:textId="77777777" w:rsidTr="00655643">
        <w:trPr>
          <w:trHeight w:val="300"/>
        </w:trPr>
        <w:tc>
          <w:tcPr>
            <w:tcW w:w="0" w:type="auto"/>
            <w:noWrap/>
            <w:hideMark/>
          </w:tcPr>
          <w:p w14:paraId="1B56DF60" w14:textId="77777777" w:rsidR="00655643" w:rsidRPr="00655643" w:rsidRDefault="00655643" w:rsidP="00655643">
            <w:pPr>
              <w:spacing w:after="160" w:line="259" w:lineRule="auto"/>
            </w:pPr>
            <w:r w:rsidRPr="00655643">
              <w:t>Co-ordination</w:t>
            </w:r>
          </w:p>
        </w:tc>
        <w:tc>
          <w:tcPr>
            <w:tcW w:w="0" w:type="auto"/>
            <w:hideMark/>
          </w:tcPr>
          <w:p w14:paraId="6EC43945" w14:textId="77777777" w:rsidR="00655643" w:rsidRPr="00655643" w:rsidRDefault="00655643" w:rsidP="00655643">
            <w:pPr>
              <w:spacing w:after="160" w:line="259" w:lineRule="auto"/>
            </w:pPr>
            <w:r w:rsidRPr="00655643">
              <w:t>Scotland workshop</w:t>
            </w:r>
          </w:p>
        </w:tc>
        <w:tc>
          <w:tcPr>
            <w:tcW w:w="4477" w:type="dxa"/>
            <w:hideMark/>
          </w:tcPr>
          <w:p w14:paraId="78D5EC45" w14:textId="77777777" w:rsidR="00655643" w:rsidRPr="00655643" w:rsidRDefault="00655643" w:rsidP="00655643">
            <w:pPr>
              <w:spacing w:after="160" w:line="259" w:lineRule="auto"/>
            </w:pPr>
            <w:r w:rsidRPr="00655643">
              <w:t>Workshop co-ordinating LE work across 4 nations. Date tbc (Spring 2020)</w:t>
            </w:r>
          </w:p>
        </w:tc>
        <w:tc>
          <w:tcPr>
            <w:tcW w:w="2127" w:type="dxa"/>
            <w:noWrap/>
            <w:hideMark/>
          </w:tcPr>
          <w:p w14:paraId="41D61BF6" w14:textId="77777777" w:rsidR="00655643" w:rsidRPr="00655643" w:rsidRDefault="00655643" w:rsidP="00655643">
            <w:pPr>
              <w:spacing w:after="160" w:line="259" w:lineRule="auto"/>
            </w:pPr>
            <w:r w:rsidRPr="00655643">
              <w:t>Gerry McCartney</w:t>
            </w:r>
          </w:p>
        </w:tc>
        <w:tc>
          <w:tcPr>
            <w:tcW w:w="3888" w:type="dxa"/>
            <w:shd w:val="clear" w:color="auto" w:fill="E7E6E6" w:themeFill="background2"/>
          </w:tcPr>
          <w:p w14:paraId="44897A3D" w14:textId="7A9E16B7" w:rsidR="00655643" w:rsidRPr="00655643" w:rsidRDefault="00655643" w:rsidP="00655643">
            <w:pPr>
              <w:spacing w:after="160" w:line="259" w:lineRule="auto"/>
            </w:pPr>
            <w:r w:rsidRPr="00655643">
              <w:t>Postponed because of issues with PHE and Covid-19. However, it may be returned to i</w:t>
            </w:r>
            <w:r>
              <w:t>n</w:t>
            </w:r>
            <w:r w:rsidRPr="00655643">
              <w:t xml:space="preserve"> future. </w:t>
            </w:r>
          </w:p>
        </w:tc>
      </w:tr>
      <w:tr w:rsidR="00655643" w:rsidRPr="00655643" w14:paraId="4850163E" w14:textId="77777777" w:rsidTr="00655643">
        <w:trPr>
          <w:trHeight w:val="300"/>
        </w:trPr>
        <w:tc>
          <w:tcPr>
            <w:tcW w:w="0" w:type="auto"/>
            <w:noWrap/>
            <w:hideMark/>
          </w:tcPr>
          <w:p w14:paraId="0928B40A" w14:textId="77777777" w:rsidR="00655643" w:rsidRPr="00655643" w:rsidRDefault="00655643" w:rsidP="00655643">
            <w:pPr>
              <w:spacing w:after="160" w:line="259" w:lineRule="auto"/>
            </w:pPr>
            <w:bookmarkStart w:id="3" w:name="_Hlk70522641"/>
            <w:r w:rsidRPr="00655643">
              <w:t xml:space="preserve">Descriptive </w:t>
            </w:r>
          </w:p>
        </w:tc>
        <w:tc>
          <w:tcPr>
            <w:tcW w:w="0" w:type="auto"/>
            <w:hideMark/>
          </w:tcPr>
          <w:p w14:paraId="798FA065" w14:textId="77777777" w:rsidR="00655643" w:rsidRPr="00655643" w:rsidRDefault="00655643" w:rsidP="00655643">
            <w:pPr>
              <w:spacing w:after="160" w:line="259" w:lineRule="auto"/>
            </w:pPr>
            <w:r w:rsidRPr="00655643">
              <w:t>Time-indexed age trends</w:t>
            </w:r>
          </w:p>
        </w:tc>
        <w:tc>
          <w:tcPr>
            <w:tcW w:w="4477" w:type="dxa"/>
            <w:hideMark/>
          </w:tcPr>
          <w:p w14:paraId="16094ECF" w14:textId="77777777" w:rsidR="00655643" w:rsidRPr="00655643" w:rsidRDefault="00655643" w:rsidP="00655643">
            <w:pPr>
              <w:spacing w:after="160" w:line="259" w:lineRule="auto"/>
            </w:pPr>
            <w:r w:rsidRPr="00655643">
              <w:t>Trend analysis of age-specific trends in mortality rates internationally</w:t>
            </w:r>
          </w:p>
        </w:tc>
        <w:tc>
          <w:tcPr>
            <w:tcW w:w="2127" w:type="dxa"/>
            <w:noWrap/>
            <w:hideMark/>
          </w:tcPr>
          <w:p w14:paraId="7E212872" w14:textId="77777777" w:rsidR="00655643" w:rsidRPr="00655643" w:rsidRDefault="00655643" w:rsidP="00655643">
            <w:pPr>
              <w:spacing w:after="160" w:line="259" w:lineRule="auto"/>
            </w:pPr>
            <w:r w:rsidRPr="00655643">
              <w:t>Jon Minton</w:t>
            </w:r>
          </w:p>
        </w:tc>
        <w:tc>
          <w:tcPr>
            <w:tcW w:w="3888" w:type="dxa"/>
            <w:shd w:val="clear" w:color="auto" w:fill="E7E6E6" w:themeFill="background2"/>
          </w:tcPr>
          <w:p w14:paraId="5919A808" w14:textId="77777777" w:rsidR="00655643" w:rsidRPr="00655643" w:rsidRDefault="00655643" w:rsidP="00655643">
            <w:pPr>
              <w:spacing w:after="160" w:line="259" w:lineRule="auto"/>
            </w:pPr>
            <w:r w:rsidRPr="00655643">
              <w:sym w:font="Wingdings 2" w:char="F050"/>
            </w:r>
            <w:r w:rsidRPr="00655643">
              <w:t xml:space="preserve"> Accepted for publication</w:t>
            </w:r>
            <w:r w:rsidRPr="00655643">
              <w:rPr>
                <w:vertAlign w:val="superscript"/>
              </w:rPr>
              <w:endnoteReference w:id="3"/>
            </w:r>
          </w:p>
        </w:tc>
      </w:tr>
      <w:bookmarkEnd w:id="3"/>
      <w:tr w:rsidR="00655643" w:rsidRPr="00655643" w14:paraId="52A25489" w14:textId="77777777" w:rsidTr="00655643">
        <w:trPr>
          <w:trHeight w:val="600"/>
        </w:trPr>
        <w:tc>
          <w:tcPr>
            <w:tcW w:w="0" w:type="auto"/>
            <w:noWrap/>
            <w:hideMark/>
          </w:tcPr>
          <w:p w14:paraId="43723279" w14:textId="77777777" w:rsidR="00655643" w:rsidRPr="00655643" w:rsidRDefault="00655643" w:rsidP="00655643">
            <w:pPr>
              <w:spacing w:after="160" w:line="259" w:lineRule="auto"/>
            </w:pPr>
            <w:r w:rsidRPr="00655643">
              <w:t xml:space="preserve">Descriptive </w:t>
            </w:r>
          </w:p>
        </w:tc>
        <w:tc>
          <w:tcPr>
            <w:tcW w:w="0" w:type="auto"/>
            <w:hideMark/>
          </w:tcPr>
          <w:p w14:paraId="0F071FA8" w14:textId="77777777" w:rsidR="00655643" w:rsidRPr="00655643" w:rsidRDefault="00655643" w:rsidP="00655643">
            <w:pPr>
              <w:spacing w:after="160" w:line="259" w:lineRule="auto"/>
            </w:pPr>
            <w:r w:rsidRPr="00655643">
              <w:t>Seasonality</w:t>
            </w:r>
          </w:p>
        </w:tc>
        <w:tc>
          <w:tcPr>
            <w:tcW w:w="4477" w:type="dxa"/>
            <w:hideMark/>
          </w:tcPr>
          <w:p w14:paraId="1F561F63" w14:textId="77777777" w:rsidR="00655643" w:rsidRPr="00655643" w:rsidRDefault="00655643" w:rsidP="00655643">
            <w:pPr>
              <w:spacing w:after="160" w:line="259" w:lineRule="auto"/>
            </w:pPr>
            <w:r w:rsidRPr="00655643">
              <w:t>What is the contribution of seasonality and high winter peaks in deaths to overall mortality trends?</w:t>
            </w:r>
          </w:p>
        </w:tc>
        <w:tc>
          <w:tcPr>
            <w:tcW w:w="2127" w:type="dxa"/>
            <w:noWrap/>
            <w:hideMark/>
          </w:tcPr>
          <w:p w14:paraId="45FEEB03" w14:textId="77777777" w:rsidR="00655643" w:rsidRPr="00655643" w:rsidRDefault="00655643" w:rsidP="00655643">
            <w:pPr>
              <w:spacing w:after="160" w:line="259" w:lineRule="auto"/>
            </w:pPr>
            <w:r w:rsidRPr="00655643">
              <w:t>Jon Minton and Lynda Fenton</w:t>
            </w:r>
          </w:p>
        </w:tc>
        <w:tc>
          <w:tcPr>
            <w:tcW w:w="3888" w:type="dxa"/>
            <w:shd w:val="clear" w:color="auto" w:fill="E7E6E6" w:themeFill="background2"/>
          </w:tcPr>
          <w:p w14:paraId="655A41FC" w14:textId="1DDA5734" w:rsidR="00655643" w:rsidRPr="00655643" w:rsidRDefault="00655643" w:rsidP="00655643">
            <w:pPr>
              <w:spacing w:after="160" w:line="259" w:lineRule="auto"/>
            </w:pPr>
            <w:r w:rsidRPr="00655643">
              <w:t xml:space="preserve">This was in the process of being written up when Covid hit. GM has agreed to try and complete the writing of a first draft. </w:t>
            </w:r>
          </w:p>
        </w:tc>
      </w:tr>
      <w:tr w:rsidR="00655643" w:rsidRPr="00655643" w14:paraId="11D421D2" w14:textId="77777777" w:rsidTr="00655643">
        <w:trPr>
          <w:trHeight w:val="300"/>
        </w:trPr>
        <w:tc>
          <w:tcPr>
            <w:tcW w:w="0" w:type="auto"/>
            <w:noWrap/>
            <w:hideMark/>
          </w:tcPr>
          <w:p w14:paraId="3891EC81" w14:textId="77777777" w:rsidR="00655643" w:rsidRPr="00655643" w:rsidRDefault="00655643" w:rsidP="00655643">
            <w:pPr>
              <w:spacing w:after="160" w:line="259" w:lineRule="auto"/>
            </w:pPr>
            <w:r w:rsidRPr="00655643">
              <w:t xml:space="preserve">Descriptive </w:t>
            </w:r>
          </w:p>
        </w:tc>
        <w:tc>
          <w:tcPr>
            <w:tcW w:w="0" w:type="auto"/>
            <w:hideMark/>
          </w:tcPr>
          <w:p w14:paraId="512AD772" w14:textId="77777777" w:rsidR="00655643" w:rsidRPr="00655643" w:rsidRDefault="00655643" w:rsidP="00655643">
            <w:pPr>
              <w:spacing w:after="160" w:line="259" w:lineRule="auto"/>
            </w:pPr>
            <w:r w:rsidRPr="00655643">
              <w:t>Life expectancy and mortality trends</w:t>
            </w:r>
          </w:p>
        </w:tc>
        <w:tc>
          <w:tcPr>
            <w:tcW w:w="4477" w:type="dxa"/>
            <w:hideMark/>
          </w:tcPr>
          <w:p w14:paraId="73980E4C" w14:textId="77777777" w:rsidR="00655643" w:rsidRPr="00655643" w:rsidRDefault="00655643" w:rsidP="00655643">
            <w:pPr>
              <w:spacing w:after="160" w:line="259" w:lineRule="auto"/>
            </w:pPr>
            <w:r w:rsidRPr="00655643">
              <w:t>International comparison of trends, breakpoint analysis</w:t>
            </w:r>
          </w:p>
        </w:tc>
        <w:tc>
          <w:tcPr>
            <w:tcW w:w="2127" w:type="dxa"/>
            <w:noWrap/>
            <w:hideMark/>
          </w:tcPr>
          <w:p w14:paraId="2B696A4E" w14:textId="77777777" w:rsidR="00655643" w:rsidRPr="00655643" w:rsidRDefault="00655643" w:rsidP="00655643">
            <w:pPr>
              <w:spacing w:after="160" w:line="259" w:lineRule="auto"/>
            </w:pPr>
            <w:r w:rsidRPr="00655643">
              <w:t>Lynda Fenton</w:t>
            </w:r>
          </w:p>
        </w:tc>
        <w:tc>
          <w:tcPr>
            <w:tcW w:w="3888" w:type="dxa"/>
            <w:shd w:val="clear" w:color="auto" w:fill="E7E6E6" w:themeFill="background2"/>
          </w:tcPr>
          <w:p w14:paraId="061FED02" w14:textId="77777777" w:rsidR="00655643" w:rsidRPr="00655643" w:rsidRDefault="00655643" w:rsidP="00655643">
            <w:pPr>
              <w:spacing w:after="160" w:line="259" w:lineRule="auto"/>
            </w:pPr>
            <w:r w:rsidRPr="00655643">
              <w:sym w:font="Wingdings 2" w:char="F050"/>
            </w:r>
            <w:r w:rsidRPr="00655643">
              <w:t xml:space="preserve"> Published in BMJ Open</w:t>
            </w:r>
            <w:r w:rsidRPr="00655643">
              <w:rPr>
                <w:vertAlign w:val="superscript"/>
              </w:rPr>
              <w:endnoteReference w:id="4"/>
            </w:r>
          </w:p>
        </w:tc>
      </w:tr>
      <w:tr w:rsidR="00655643" w:rsidRPr="00655643" w14:paraId="105A1017" w14:textId="77777777" w:rsidTr="00655643">
        <w:trPr>
          <w:trHeight w:val="300"/>
        </w:trPr>
        <w:tc>
          <w:tcPr>
            <w:tcW w:w="0" w:type="auto"/>
            <w:noWrap/>
            <w:hideMark/>
          </w:tcPr>
          <w:p w14:paraId="122242B1" w14:textId="77777777" w:rsidR="00655643" w:rsidRPr="00655643" w:rsidRDefault="00655643" w:rsidP="00655643">
            <w:pPr>
              <w:spacing w:after="160" w:line="259" w:lineRule="auto"/>
            </w:pPr>
            <w:r w:rsidRPr="00655643">
              <w:t xml:space="preserve">Descriptive </w:t>
            </w:r>
          </w:p>
        </w:tc>
        <w:tc>
          <w:tcPr>
            <w:tcW w:w="0" w:type="auto"/>
            <w:hideMark/>
          </w:tcPr>
          <w:p w14:paraId="47654C21" w14:textId="77777777" w:rsidR="00655643" w:rsidRPr="00655643" w:rsidRDefault="00655643" w:rsidP="00655643">
            <w:pPr>
              <w:spacing w:after="160" w:line="259" w:lineRule="auto"/>
            </w:pPr>
            <w:r w:rsidRPr="00655643">
              <w:t>Deprivation trends</w:t>
            </w:r>
          </w:p>
        </w:tc>
        <w:tc>
          <w:tcPr>
            <w:tcW w:w="4477" w:type="dxa"/>
            <w:hideMark/>
          </w:tcPr>
          <w:p w14:paraId="142660F0" w14:textId="77777777" w:rsidR="00655643" w:rsidRPr="00655643" w:rsidRDefault="00655643" w:rsidP="00655643">
            <w:pPr>
              <w:spacing w:after="160" w:line="259" w:lineRule="auto"/>
            </w:pPr>
            <w:r w:rsidRPr="00655643">
              <w:t>Description of trends in LE by deprivation</w:t>
            </w:r>
          </w:p>
        </w:tc>
        <w:tc>
          <w:tcPr>
            <w:tcW w:w="2127" w:type="dxa"/>
            <w:noWrap/>
            <w:hideMark/>
          </w:tcPr>
          <w:p w14:paraId="1F618D96" w14:textId="77777777" w:rsidR="00655643" w:rsidRPr="00655643" w:rsidRDefault="00655643" w:rsidP="00655643">
            <w:pPr>
              <w:spacing w:after="160" w:line="259" w:lineRule="auto"/>
            </w:pPr>
            <w:r w:rsidRPr="00655643">
              <w:t>Lynda Fenton</w:t>
            </w:r>
          </w:p>
        </w:tc>
        <w:tc>
          <w:tcPr>
            <w:tcW w:w="3888" w:type="dxa"/>
            <w:shd w:val="clear" w:color="auto" w:fill="E7E6E6" w:themeFill="background2"/>
          </w:tcPr>
          <w:p w14:paraId="7C818862" w14:textId="77777777" w:rsidR="00655643" w:rsidRPr="00655643" w:rsidRDefault="00655643" w:rsidP="00655643">
            <w:pPr>
              <w:spacing w:after="160" w:line="259" w:lineRule="auto"/>
            </w:pPr>
            <w:r w:rsidRPr="00655643">
              <w:sym w:font="Wingdings 2" w:char="F050"/>
            </w:r>
            <w:r w:rsidRPr="00655643">
              <w:t xml:space="preserve"> Published in JECH</w:t>
            </w:r>
            <w:r w:rsidRPr="00655643">
              <w:rPr>
                <w:vertAlign w:val="superscript"/>
              </w:rPr>
              <w:endnoteReference w:id="5"/>
            </w:r>
          </w:p>
        </w:tc>
      </w:tr>
      <w:tr w:rsidR="00655643" w:rsidRPr="00655643" w14:paraId="305E203A" w14:textId="77777777" w:rsidTr="00655643">
        <w:trPr>
          <w:trHeight w:val="300"/>
        </w:trPr>
        <w:tc>
          <w:tcPr>
            <w:tcW w:w="0" w:type="auto"/>
            <w:noWrap/>
            <w:hideMark/>
          </w:tcPr>
          <w:p w14:paraId="6A27F8D3" w14:textId="77777777" w:rsidR="00655643" w:rsidRPr="00655643" w:rsidRDefault="00655643" w:rsidP="00655643">
            <w:pPr>
              <w:spacing w:after="160" w:line="259" w:lineRule="auto"/>
            </w:pPr>
            <w:r w:rsidRPr="00655643">
              <w:t xml:space="preserve">Descriptive </w:t>
            </w:r>
          </w:p>
        </w:tc>
        <w:tc>
          <w:tcPr>
            <w:tcW w:w="0" w:type="auto"/>
            <w:hideMark/>
          </w:tcPr>
          <w:p w14:paraId="1A81B8E1" w14:textId="77777777" w:rsidR="00655643" w:rsidRPr="00655643" w:rsidRDefault="00655643" w:rsidP="00655643">
            <w:pPr>
              <w:spacing w:after="160" w:line="259" w:lineRule="auto"/>
            </w:pPr>
            <w:r w:rsidRPr="00655643">
              <w:t>Spatial analysis</w:t>
            </w:r>
          </w:p>
        </w:tc>
        <w:tc>
          <w:tcPr>
            <w:tcW w:w="4477" w:type="dxa"/>
            <w:hideMark/>
          </w:tcPr>
          <w:p w14:paraId="7D9E5DBC" w14:textId="77777777" w:rsidR="00655643" w:rsidRPr="00655643" w:rsidRDefault="00655643" w:rsidP="00655643">
            <w:pPr>
              <w:spacing w:after="160" w:line="259" w:lineRule="auto"/>
            </w:pPr>
            <w:r w:rsidRPr="00655643">
              <w:t>Analysis of LE trends by local geographical areas, deprivation and rurality</w:t>
            </w:r>
          </w:p>
        </w:tc>
        <w:tc>
          <w:tcPr>
            <w:tcW w:w="2127" w:type="dxa"/>
            <w:noWrap/>
            <w:hideMark/>
          </w:tcPr>
          <w:p w14:paraId="3F7EF8DF" w14:textId="77777777" w:rsidR="00655643" w:rsidRPr="00655643" w:rsidRDefault="00655643" w:rsidP="00655643">
            <w:pPr>
              <w:spacing w:after="160" w:line="259" w:lineRule="auto"/>
            </w:pPr>
            <w:r w:rsidRPr="00655643">
              <w:t>Clare Campbell</w:t>
            </w:r>
          </w:p>
        </w:tc>
        <w:tc>
          <w:tcPr>
            <w:tcW w:w="3888" w:type="dxa"/>
            <w:shd w:val="clear" w:color="auto" w:fill="E7E6E6" w:themeFill="background2"/>
          </w:tcPr>
          <w:p w14:paraId="78A36B73" w14:textId="0B25D794" w:rsidR="00655643" w:rsidRPr="00655643" w:rsidRDefault="00655643" w:rsidP="00655643">
            <w:pPr>
              <w:spacing w:after="160" w:line="259" w:lineRule="auto"/>
            </w:pPr>
            <w:r w:rsidRPr="00655643">
              <w:t>Was in the process of being written up pre-covid. Awaiting update</w:t>
            </w:r>
            <w:r>
              <w:t>.</w:t>
            </w:r>
          </w:p>
        </w:tc>
      </w:tr>
      <w:tr w:rsidR="00655643" w:rsidRPr="00655643" w14:paraId="112631F9" w14:textId="77777777" w:rsidTr="00655643">
        <w:trPr>
          <w:trHeight w:val="300"/>
        </w:trPr>
        <w:tc>
          <w:tcPr>
            <w:tcW w:w="0" w:type="auto"/>
            <w:noWrap/>
            <w:hideMark/>
          </w:tcPr>
          <w:p w14:paraId="260717E1" w14:textId="77777777" w:rsidR="00655643" w:rsidRPr="00655643" w:rsidRDefault="00655643" w:rsidP="00655643">
            <w:pPr>
              <w:spacing w:after="160" w:line="259" w:lineRule="auto"/>
            </w:pPr>
            <w:r w:rsidRPr="00655643">
              <w:t xml:space="preserve">Descriptive </w:t>
            </w:r>
          </w:p>
        </w:tc>
        <w:tc>
          <w:tcPr>
            <w:tcW w:w="0" w:type="auto"/>
            <w:hideMark/>
          </w:tcPr>
          <w:p w14:paraId="792BDF29" w14:textId="77777777" w:rsidR="00655643" w:rsidRPr="00655643" w:rsidRDefault="00655643" w:rsidP="00655643">
            <w:pPr>
              <w:spacing w:after="160" w:line="259" w:lineRule="auto"/>
            </w:pPr>
            <w:r w:rsidRPr="00655643">
              <w:t>Decomposition of LE by deprivation</w:t>
            </w:r>
          </w:p>
        </w:tc>
        <w:tc>
          <w:tcPr>
            <w:tcW w:w="4477" w:type="dxa"/>
            <w:hideMark/>
          </w:tcPr>
          <w:p w14:paraId="231D3297" w14:textId="77777777" w:rsidR="00655643" w:rsidRPr="00655643" w:rsidRDefault="00655643" w:rsidP="00655643">
            <w:pPr>
              <w:spacing w:after="160" w:line="259" w:lineRule="auto"/>
            </w:pPr>
            <w:r w:rsidRPr="00655643">
              <w:t>Decomposition of LE trends by age, sex, cause, deprivation</w:t>
            </w:r>
          </w:p>
        </w:tc>
        <w:tc>
          <w:tcPr>
            <w:tcW w:w="2127" w:type="dxa"/>
            <w:noWrap/>
            <w:hideMark/>
          </w:tcPr>
          <w:p w14:paraId="322A86B9" w14:textId="77777777" w:rsidR="00655643" w:rsidRPr="00655643" w:rsidRDefault="00655643" w:rsidP="00655643">
            <w:pPr>
              <w:spacing w:after="160" w:line="259" w:lineRule="auto"/>
            </w:pPr>
            <w:r w:rsidRPr="00655643">
              <w:t>Julie Ramsay</w:t>
            </w:r>
          </w:p>
        </w:tc>
        <w:tc>
          <w:tcPr>
            <w:tcW w:w="3888" w:type="dxa"/>
            <w:shd w:val="clear" w:color="auto" w:fill="E7E6E6" w:themeFill="background2"/>
          </w:tcPr>
          <w:p w14:paraId="41AFD25E" w14:textId="45CBFE31" w:rsidR="00655643" w:rsidRPr="00655643" w:rsidRDefault="00655643" w:rsidP="00655643">
            <w:pPr>
              <w:spacing w:after="160" w:line="259" w:lineRule="auto"/>
            </w:pPr>
            <w:r w:rsidRPr="00655643">
              <w:t xml:space="preserve">Writing up commenced pre-covid. However, progress stalled by resource limitations at NRS. </w:t>
            </w:r>
          </w:p>
        </w:tc>
      </w:tr>
      <w:tr w:rsidR="00655643" w:rsidRPr="00655643" w14:paraId="51A7FFB5" w14:textId="77777777" w:rsidTr="00655643">
        <w:trPr>
          <w:trHeight w:val="300"/>
        </w:trPr>
        <w:tc>
          <w:tcPr>
            <w:tcW w:w="0" w:type="auto"/>
            <w:noWrap/>
            <w:hideMark/>
          </w:tcPr>
          <w:p w14:paraId="0157DE6D" w14:textId="77777777" w:rsidR="00655643" w:rsidRPr="00655643" w:rsidRDefault="00655643" w:rsidP="00655643">
            <w:pPr>
              <w:spacing w:after="160" w:line="259" w:lineRule="auto"/>
            </w:pPr>
            <w:r w:rsidRPr="00655643">
              <w:t xml:space="preserve">Descriptive </w:t>
            </w:r>
          </w:p>
        </w:tc>
        <w:tc>
          <w:tcPr>
            <w:tcW w:w="0" w:type="auto"/>
            <w:hideMark/>
          </w:tcPr>
          <w:p w14:paraId="22FC9B38" w14:textId="77777777" w:rsidR="00655643" w:rsidRPr="00655643" w:rsidRDefault="00655643" w:rsidP="00655643">
            <w:pPr>
              <w:spacing w:after="160" w:line="259" w:lineRule="auto"/>
            </w:pPr>
            <w:r w:rsidRPr="00655643">
              <w:t xml:space="preserve">Decomposition of LE  </w:t>
            </w:r>
          </w:p>
        </w:tc>
        <w:tc>
          <w:tcPr>
            <w:tcW w:w="4477" w:type="dxa"/>
            <w:hideMark/>
          </w:tcPr>
          <w:p w14:paraId="4FDB7FD9" w14:textId="77777777" w:rsidR="00655643" w:rsidRPr="00655643" w:rsidRDefault="00655643" w:rsidP="00655643">
            <w:pPr>
              <w:spacing w:after="160" w:line="259" w:lineRule="auto"/>
            </w:pPr>
            <w:r w:rsidRPr="00655643">
              <w:t>Decomposition of LE trends by age, sex, cause</w:t>
            </w:r>
          </w:p>
        </w:tc>
        <w:tc>
          <w:tcPr>
            <w:tcW w:w="2127" w:type="dxa"/>
            <w:noWrap/>
            <w:hideMark/>
          </w:tcPr>
          <w:p w14:paraId="32C47845" w14:textId="77777777" w:rsidR="00655643" w:rsidRPr="00655643" w:rsidRDefault="00655643" w:rsidP="00655643">
            <w:pPr>
              <w:spacing w:after="160" w:line="259" w:lineRule="auto"/>
            </w:pPr>
            <w:r w:rsidRPr="00655643">
              <w:t>Julie Ramsay</w:t>
            </w:r>
          </w:p>
        </w:tc>
        <w:tc>
          <w:tcPr>
            <w:tcW w:w="3888" w:type="dxa"/>
            <w:shd w:val="clear" w:color="auto" w:fill="E7E6E6" w:themeFill="background2"/>
          </w:tcPr>
          <w:p w14:paraId="3646B55A" w14:textId="77777777" w:rsidR="00655643" w:rsidRPr="00655643" w:rsidRDefault="00655643" w:rsidP="00655643">
            <w:pPr>
              <w:spacing w:after="160" w:line="259" w:lineRule="auto"/>
            </w:pPr>
            <w:r w:rsidRPr="00655643">
              <w:sym w:font="Wingdings 2" w:char="F050"/>
            </w:r>
            <w:r w:rsidRPr="00655643">
              <w:t xml:space="preserve"> Published in JECH</w:t>
            </w:r>
          </w:p>
        </w:tc>
      </w:tr>
      <w:tr w:rsidR="00655643" w:rsidRPr="00655643" w14:paraId="524AFEFD" w14:textId="77777777" w:rsidTr="00655643">
        <w:trPr>
          <w:trHeight w:val="300"/>
        </w:trPr>
        <w:tc>
          <w:tcPr>
            <w:tcW w:w="0" w:type="auto"/>
            <w:noWrap/>
            <w:hideMark/>
          </w:tcPr>
          <w:p w14:paraId="35099D91" w14:textId="77777777" w:rsidR="00655643" w:rsidRPr="00655643" w:rsidRDefault="00655643" w:rsidP="00655643">
            <w:pPr>
              <w:spacing w:after="160" w:line="259" w:lineRule="auto"/>
            </w:pPr>
            <w:r w:rsidRPr="00655643">
              <w:t>Dissemination</w:t>
            </w:r>
          </w:p>
        </w:tc>
        <w:tc>
          <w:tcPr>
            <w:tcW w:w="0" w:type="auto"/>
            <w:hideMark/>
          </w:tcPr>
          <w:p w14:paraId="4CEEA335" w14:textId="77777777" w:rsidR="00655643" w:rsidRPr="00655643" w:rsidRDefault="00655643" w:rsidP="00655643">
            <w:pPr>
              <w:spacing w:after="160" w:line="259" w:lineRule="auto"/>
            </w:pPr>
            <w:r w:rsidRPr="00655643">
              <w:t>Media discourse analysis</w:t>
            </w:r>
          </w:p>
        </w:tc>
        <w:tc>
          <w:tcPr>
            <w:tcW w:w="4477" w:type="dxa"/>
            <w:hideMark/>
          </w:tcPr>
          <w:p w14:paraId="79F818CB" w14:textId="77777777" w:rsidR="00655643" w:rsidRPr="00655643" w:rsidRDefault="00655643" w:rsidP="00655643">
            <w:pPr>
              <w:spacing w:after="160" w:line="259" w:lineRule="auto"/>
            </w:pPr>
            <w:r w:rsidRPr="00655643">
              <w:t>Analysis of public responses to LE stories on BBC website</w:t>
            </w:r>
          </w:p>
        </w:tc>
        <w:tc>
          <w:tcPr>
            <w:tcW w:w="2127" w:type="dxa"/>
            <w:noWrap/>
            <w:hideMark/>
          </w:tcPr>
          <w:p w14:paraId="3DDC1D35" w14:textId="77777777" w:rsidR="00655643" w:rsidRPr="00655643" w:rsidRDefault="00655643" w:rsidP="00655643">
            <w:pPr>
              <w:spacing w:after="160" w:line="259" w:lineRule="auto"/>
            </w:pPr>
            <w:r w:rsidRPr="00655643">
              <w:t>Lynda Fenton</w:t>
            </w:r>
          </w:p>
        </w:tc>
        <w:tc>
          <w:tcPr>
            <w:tcW w:w="3888" w:type="dxa"/>
            <w:shd w:val="clear" w:color="auto" w:fill="E7E6E6" w:themeFill="background2"/>
          </w:tcPr>
          <w:p w14:paraId="3AC5D361" w14:textId="3DE364D5" w:rsidR="00655643" w:rsidRPr="00655643" w:rsidRDefault="00655643" w:rsidP="00655643">
            <w:pPr>
              <w:spacing w:after="160" w:line="259" w:lineRule="auto"/>
            </w:pPr>
            <w:r w:rsidRPr="00655643">
              <w:t>Analysis was ongoing pre-covid. Priority of this for future report to be discussed.</w:t>
            </w:r>
          </w:p>
        </w:tc>
      </w:tr>
      <w:tr w:rsidR="00655643" w:rsidRPr="00655643" w14:paraId="03397DB4" w14:textId="77777777" w:rsidTr="00655643">
        <w:trPr>
          <w:trHeight w:val="300"/>
        </w:trPr>
        <w:tc>
          <w:tcPr>
            <w:tcW w:w="0" w:type="auto"/>
            <w:noWrap/>
            <w:hideMark/>
          </w:tcPr>
          <w:p w14:paraId="22250614" w14:textId="77777777" w:rsidR="00655643" w:rsidRPr="00655643" w:rsidRDefault="00655643" w:rsidP="00655643">
            <w:pPr>
              <w:spacing w:after="160" w:line="259" w:lineRule="auto"/>
            </w:pPr>
            <w:r w:rsidRPr="00655643">
              <w:t>Dissemination</w:t>
            </w:r>
          </w:p>
        </w:tc>
        <w:tc>
          <w:tcPr>
            <w:tcW w:w="0" w:type="auto"/>
            <w:hideMark/>
          </w:tcPr>
          <w:p w14:paraId="016702C3" w14:textId="77777777" w:rsidR="00655643" w:rsidRPr="00655643" w:rsidRDefault="00655643" w:rsidP="00655643">
            <w:pPr>
              <w:spacing w:after="160" w:line="259" w:lineRule="auto"/>
            </w:pPr>
            <w:r w:rsidRPr="00655643">
              <w:t>Visualisation app</w:t>
            </w:r>
          </w:p>
        </w:tc>
        <w:tc>
          <w:tcPr>
            <w:tcW w:w="4477" w:type="dxa"/>
            <w:hideMark/>
          </w:tcPr>
          <w:p w14:paraId="67E1AFFB" w14:textId="77777777" w:rsidR="00655643" w:rsidRPr="00655643" w:rsidRDefault="00655643" w:rsidP="00655643">
            <w:pPr>
              <w:spacing w:after="160" w:line="259" w:lineRule="auto"/>
            </w:pPr>
            <w:r w:rsidRPr="00655643">
              <w:t>App for visualising the Human Mortality Database resource</w:t>
            </w:r>
          </w:p>
        </w:tc>
        <w:tc>
          <w:tcPr>
            <w:tcW w:w="2127" w:type="dxa"/>
            <w:noWrap/>
            <w:hideMark/>
          </w:tcPr>
          <w:p w14:paraId="5829126A" w14:textId="77777777" w:rsidR="00655643" w:rsidRPr="00655643" w:rsidRDefault="00655643" w:rsidP="00655643">
            <w:pPr>
              <w:spacing w:after="160" w:line="259" w:lineRule="auto"/>
            </w:pPr>
            <w:r w:rsidRPr="00655643">
              <w:t>Jon Minton</w:t>
            </w:r>
          </w:p>
        </w:tc>
        <w:tc>
          <w:tcPr>
            <w:tcW w:w="3888" w:type="dxa"/>
            <w:shd w:val="clear" w:color="auto" w:fill="E7E6E6" w:themeFill="background2"/>
          </w:tcPr>
          <w:p w14:paraId="3373F98E" w14:textId="57A020B6" w:rsidR="00655643" w:rsidRPr="00655643" w:rsidRDefault="00655643" w:rsidP="00655643">
            <w:pPr>
              <w:spacing w:after="160" w:line="259" w:lineRule="auto"/>
            </w:pPr>
            <w:r w:rsidRPr="00655643">
              <w:t>Completed, published online</w:t>
            </w:r>
          </w:p>
        </w:tc>
      </w:tr>
      <w:tr w:rsidR="00655643" w:rsidRPr="00655643" w14:paraId="3F428528" w14:textId="77777777" w:rsidTr="00655643">
        <w:trPr>
          <w:trHeight w:val="600"/>
        </w:trPr>
        <w:tc>
          <w:tcPr>
            <w:tcW w:w="0" w:type="auto"/>
            <w:noWrap/>
            <w:hideMark/>
          </w:tcPr>
          <w:p w14:paraId="4F980FF2" w14:textId="77777777" w:rsidR="00655643" w:rsidRPr="00655643" w:rsidRDefault="00655643" w:rsidP="00655643">
            <w:pPr>
              <w:spacing w:after="160" w:line="259" w:lineRule="auto"/>
            </w:pPr>
            <w:r w:rsidRPr="00655643">
              <w:t>Dissemination</w:t>
            </w:r>
          </w:p>
        </w:tc>
        <w:tc>
          <w:tcPr>
            <w:tcW w:w="0" w:type="auto"/>
            <w:hideMark/>
          </w:tcPr>
          <w:p w14:paraId="17A8A18B" w14:textId="77777777" w:rsidR="00655643" w:rsidRPr="00655643" w:rsidRDefault="00655643" w:rsidP="00655643">
            <w:pPr>
              <w:spacing w:after="160" w:line="259" w:lineRule="auto"/>
            </w:pPr>
            <w:r w:rsidRPr="00655643">
              <w:t>Communications and engagement strategy (v1)</w:t>
            </w:r>
          </w:p>
        </w:tc>
        <w:tc>
          <w:tcPr>
            <w:tcW w:w="4477" w:type="dxa"/>
            <w:hideMark/>
          </w:tcPr>
          <w:p w14:paraId="3B4A07D2" w14:textId="77777777" w:rsidR="00655643" w:rsidRPr="00655643" w:rsidRDefault="00655643" w:rsidP="00655643">
            <w:pPr>
              <w:spacing w:after="160" w:line="259" w:lineRule="auto"/>
            </w:pPr>
            <w:r w:rsidRPr="00655643">
              <w:t>Strategy to maximise the impact of the work</w:t>
            </w:r>
          </w:p>
        </w:tc>
        <w:tc>
          <w:tcPr>
            <w:tcW w:w="2127" w:type="dxa"/>
            <w:noWrap/>
            <w:hideMark/>
          </w:tcPr>
          <w:p w14:paraId="221AD137" w14:textId="77777777" w:rsidR="00655643" w:rsidRPr="00655643" w:rsidRDefault="00655643" w:rsidP="00655643">
            <w:pPr>
              <w:spacing w:after="160" w:line="259" w:lineRule="auto"/>
            </w:pPr>
            <w:r w:rsidRPr="00655643">
              <w:t>Paige Somerville/ Gerry McCartney/ Emma Baird</w:t>
            </w:r>
          </w:p>
        </w:tc>
        <w:tc>
          <w:tcPr>
            <w:tcW w:w="3888" w:type="dxa"/>
            <w:shd w:val="clear" w:color="auto" w:fill="E7E6E6" w:themeFill="background2"/>
          </w:tcPr>
          <w:p w14:paraId="1510C42C" w14:textId="3513BE16" w:rsidR="00655643" w:rsidRPr="00655643" w:rsidRDefault="00655643" w:rsidP="00655643">
            <w:pPr>
              <w:spacing w:after="160" w:line="259" w:lineRule="auto"/>
            </w:pPr>
            <w:r w:rsidRPr="00655643">
              <w:t>This is/was a ‘live’, unpublished, document. Aspects of it will now feed into a final report (alongside the policy recommendations work), while the communications aspect is now being led by GCPH (see below).</w:t>
            </w:r>
          </w:p>
        </w:tc>
      </w:tr>
      <w:tr w:rsidR="00655643" w:rsidRPr="00655643" w14:paraId="2EA4B6B6" w14:textId="77777777" w:rsidTr="00655643">
        <w:trPr>
          <w:trHeight w:val="600"/>
        </w:trPr>
        <w:tc>
          <w:tcPr>
            <w:tcW w:w="0" w:type="auto"/>
            <w:noWrap/>
          </w:tcPr>
          <w:p w14:paraId="75FB19B5" w14:textId="77777777" w:rsidR="00655643" w:rsidRPr="00655643" w:rsidRDefault="00655643" w:rsidP="00655643">
            <w:pPr>
              <w:spacing w:after="160" w:line="259" w:lineRule="auto"/>
            </w:pPr>
            <w:r w:rsidRPr="00655643">
              <w:lastRenderedPageBreak/>
              <w:t>Dissemination</w:t>
            </w:r>
          </w:p>
        </w:tc>
        <w:tc>
          <w:tcPr>
            <w:tcW w:w="0" w:type="auto"/>
          </w:tcPr>
          <w:p w14:paraId="3D162E37" w14:textId="77777777" w:rsidR="00655643" w:rsidRPr="00655643" w:rsidRDefault="00655643" w:rsidP="00655643">
            <w:pPr>
              <w:spacing w:after="160" w:line="259" w:lineRule="auto"/>
            </w:pPr>
            <w:r w:rsidRPr="00655643">
              <w:t>Comms strategy v2</w:t>
            </w:r>
          </w:p>
        </w:tc>
        <w:tc>
          <w:tcPr>
            <w:tcW w:w="4477" w:type="dxa"/>
          </w:tcPr>
          <w:p w14:paraId="16F7B865" w14:textId="77777777" w:rsidR="00655643" w:rsidRPr="00655643" w:rsidRDefault="00655643" w:rsidP="00655643">
            <w:pPr>
              <w:spacing w:after="160" w:line="259" w:lineRule="auto"/>
            </w:pPr>
            <w:r w:rsidRPr="00655643">
              <w:t>Maximising impact</w:t>
            </w:r>
          </w:p>
        </w:tc>
        <w:tc>
          <w:tcPr>
            <w:tcW w:w="2127" w:type="dxa"/>
            <w:noWrap/>
          </w:tcPr>
          <w:p w14:paraId="3869A7F3" w14:textId="77777777" w:rsidR="00655643" w:rsidRPr="00655643" w:rsidRDefault="00655643" w:rsidP="00655643">
            <w:pPr>
              <w:spacing w:after="160" w:line="259" w:lineRule="auto"/>
            </w:pPr>
            <w:r w:rsidRPr="00655643">
              <w:t>Jennie Coyle</w:t>
            </w:r>
          </w:p>
        </w:tc>
        <w:tc>
          <w:tcPr>
            <w:tcW w:w="3888" w:type="dxa"/>
            <w:shd w:val="clear" w:color="auto" w:fill="E7E6E6" w:themeFill="background2"/>
          </w:tcPr>
          <w:p w14:paraId="485CE407" w14:textId="77777777" w:rsidR="00655643" w:rsidRPr="00655643" w:rsidRDefault="00655643" w:rsidP="00655643">
            <w:pPr>
              <w:spacing w:after="160" w:line="259" w:lineRule="auto"/>
            </w:pPr>
            <w:r w:rsidRPr="00655643">
              <w:t>Various activities planned including publishing an online animation which seeks to explain the causes of recent mortality changes.</w:t>
            </w:r>
          </w:p>
        </w:tc>
      </w:tr>
      <w:tr w:rsidR="00655643" w:rsidRPr="00655643" w14:paraId="6A1D91B9" w14:textId="77777777" w:rsidTr="00655643">
        <w:trPr>
          <w:trHeight w:val="300"/>
        </w:trPr>
        <w:tc>
          <w:tcPr>
            <w:tcW w:w="0" w:type="auto"/>
            <w:noWrap/>
          </w:tcPr>
          <w:p w14:paraId="0002399D" w14:textId="77777777" w:rsidR="00655643" w:rsidRPr="00655643" w:rsidRDefault="00655643" w:rsidP="00655643">
            <w:pPr>
              <w:spacing w:after="160" w:line="259" w:lineRule="auto"/>
            </w:pPr>
            <w:r w:rsidRPr="00655643">
              <w:t>Dissemination</w:t>
            </w:r>
          </w:p>
        </w:tc>
        <w:tc>
          <w:tcPr>
            <w:tcW w:w="0" w:type="auto"/>
          </w:tcPr>
          <w:p w14:paraId="7068F92D" w14:textId="77777777" w:rsidR="00655643" w:rsidRPr="00655643" w:rsidRDefault="00655643" w:rsidP="00655643">
            <w:pPr>
              <w:spacing w:after="160" w:line="259" w:lineRule="auto"/>
            </w:pPr>
            <w:r w:rsidRPr="00655643">
              <w:t>Policy recommendations</w:t>
            </w:r>
          </w:p>
        </w:tc>
        <w:tc>
          <w:tcPr>
            <w:tcW w:w="4477" w:type="dxa"/>
          </w:tcPr>
          <w:p w14:paraId="062C1595" w14:textId="77777777" w:rsidR="00655643" w:rsidRPr="00655643" w:rsidRDefault="00655643" w:rsidP="00655643">
            <w:pPr>
              <w:spacing w:after="160" w:line="259" w:lineRule="auto"/>
            </w:pPr>
            <w:r w:rsidRPr="00655643">
              <w:t>Policy recommendations to be included in a final report</w:t>
            </w:r>
          </w:p>
        </w:tc>
        <w:tc>
          <w:tcPr>
            <w:tcW w:w="2127" w:type="dxa"/>
            <w:noWrap/>
          </w:tcPr>
          <w:p w14:paraId="3BD97364" w14:textId="478D9EB3" w:rsidR="00655643" w:rsidRPr="00655643" w:rsidRDefault="00655643" w:rsidP="00655643">
            <w:pPr>
              <w:spacing w:after="160" w:line="259" w:lineRule="auto"/>
            </w:pPr>
            <w:r w:rsidRPr="00655643">
              <w:t>Rebecca Devine/ Emma Baird</w:t>
            </w:r>
          </w:p>
        </w:tc>
        <w:tc>
          <w:tcPr>
            <w:tcW w:w="3888" w:type="dxa"/>
            <w:shd w:val="clear" w:color="auto" w:fill="E7E6E6" w:themeFill="background2"/>
          </w:tcPr>
          <w:p w14:paraId="202C9A06" w14:textId="51700EE8" w:rsidR="00655643" w:rsidRPr="00655643" w:rsidRDefault="00655643" w:rsidP="00655643">
            <w:pPr>
              <w:spacing w:after="160" w:line="259" w:lineRule="auto"/>
            </w:pPr>
            <w:r w:rsidRPr="00655643">
              <w:t>To be incorporated into a final summary report</w:t>
            </w:r>
            <w:r>
              <w:t>.</w:t>
            </w:r>
          </w:p>
        </w:tc>
      </w:tr>
      <w:tr w:rsidR="00655643" w:rsidRPr="00655643" w14:paraId="286B30F6" w14:textId="77777777" w:rsidTr="00655643">
        <w:trPr>
          <w:trHeight w:val="300"/>
        </w:trPr>
        <w:tc>
          <w:tcPr>
            <w:tcW w:w="0" w:type="auto"/>
            <w:noWrap/>
            <w:hideMark/>
          </w:tcPr>
          <w:p w14:paraId="0B6C533B" w14:textId="77777777" w:rsidR="00655643" w:rsidRPr="00655643" w:rsidRDefault="00655643" w:rsidP="00655643">
            <w:pPr>
              <w:spacing w:after="160" w:line="259" w:lineRule="auto"/>
            </w:pPr>
            <w:r w:rsidRPr="00655643">
              <w:t>Dissemination</w:t>
            </w:r>
          </w:p>
        </w:tc>
        <w:tc>
          <w:tcPr>
            <w:tcW w:w="0" w:type="auto"/>
            <w:hideMark/>
          </w:tcPr>
          <w:p w14:paraId="55C1BCEC" w14:textId="77777777" w:rsidR="00655643" w:rsidRPr="00655643" w:rsidRDefault="00655643" w:rsidP="00655643">
            <w:pPr>
              <w:spacing w:after="160" w:line="259" w:lineRule="auto"/>
            </w:pPr>
            <w:r w:rsidRPr="00655643">
              <w:t>ScotPHO webpage</w:t>
            </w:r>
          </w:p>
        </w:tc>
        <w:tc>
          <w:tcPr>
            <w:tcW w:w="4477" w:type="dxa"/>
            <w:hideMark/>
          </w:tcPr>
          <w:p w14:paraId="0479964F" w14:textId="77777777" w:rsidR="00655643" w:rsidRPr="00655643" w:rsidRDefault="00655643" w:rsidP="00655643">
            <w:pPr>
              <w:spacing w:after="160" w:line="259" w:lineRule="auto"/>
            </w:pPr>
            <w:r w:rsidRPr="00655643">
              <w:t>Webpage summarising all the work to date, synthesis and recommendations</w:t>
            </w:r>
          </w:p>
        </w:tc>
        <w:tc>
          <w:tcPr>
            <w:tcW w:w="2127" w:type="dxa"/>
            <w:noWrap/>
            <w:hideMark/>
          </w:tcPr>
          <w:p w14:paraId="47880FBE" w14:textId="77777777" w:rsidR="00655643" w:rsidRPr="00655643" w:rsidRDefault="00655643" w:rsidP="00655643">
            <w:pPr>
              <w:spacing w:after="160" w:line="259" w:lineRule="auto"/>
            </w:pPr>
            <w:r w:rsidRPr="00655643">
              <w:t>GM/DW</w:t>
            </w:r>
          </w:p>
        </w:tc>
        <w:tc>
          <w:tcPr>
            <w:tcW w:w="3888" w:type="dxa"/>
            <w:shd w:val="clear" w:color="auto" w:fill="E7E6E6" w:themeFill="background2"/>
          </w:tcPr>
          <w:p w14:paraId="6A06F829" w14:textId="52F8CDF8" w:rsidR="00655643" w:rsidRPr="00655643" w:rsidRDefault="00655643" w:rsidP="00655643">
            <w:pPr>
              <w:spacing w:after="160" w:line="259" w:lineRule="auto"/>
            </w:pPr>
            <w:r w:rsidRPr="00655643">
              <w:t>Being updated regularly.</w:t>
            </w:r>
          </w:p>
        </w:tc>
      </w:tr>
      <w:tr w:rsidR="00655643" w:rsidRPr="00655643" w14:paraId="2EF0DDE6" w14:textId="77777777" w:rsidTr="00655643">
        <w:trPr>
          <w:trHeight w:val="300"/>
        </w:trPr>
        <w:tc>
          <w:tcPr>
            <w:tcW w:w="0" w:type="auto"/>
            <w:noWrap/>
            <w:hideMark/>
          </w:tcPr>
          <w:p w14:paraId="33420EB5" w14:textId="77777777" w:rsidR="00655643" w:rsidRPr="00655643" w:rsidRDefault="00655643" w:rsidP="00655643">
            <w:pPr>
              <w:spacing w:after="160" w:line="259" w:lineRule="auto"/>
            </w:pPr>
            <w:r w:rsidRPr="00655643">
              <w:t>Influenza</w:t>
            </w:r>
          </w:p>
        </w:tc>
        <w:tc>
          <w:tcPr>
            <w:tcW w:w="0" w:type="auto"/>
            <w:hideMark/>
          </w:tcPr>
          <w:p w14:paraId="083AF838" w14:textId="77777777" w:rsidR="00655643" w:rsidRPr="00655643" w:rsidRDefault="00655643" w:rsidP="00655643">
            <w:pPr>
              <w:spacing w:after="160" w:line="259" w:lineRule="auto"/>
            </w:pPr>
            <w:r w:rsidRPr="00655643">
              <w:t>Influenza contribution</w:t>
            </w:r>
          </w:p>
        </w:tc>
        <w:tc>
          <w:tcPr>
            <w:tcW w:w="4477" w:type="dxa"/>
            <w:hideMark/>
          </w:tcPr>
          <w:p w14:paraId="5951343D" w14:textId="77777777" w:rsidR="00655643" w:rsidRPr="00655643" w:rsidRDefault="00655643" w:rsidP="00655643">
            <w:pPr>
              <w:spacing w:after="160" w:line="259" w:lineRule="auto"/>
            </w:pPr>
            <w:r w:rsidRPr="00655643">
              <w:t>Estimating the extent to which influenza can explain the trends</w:t>
            </w:r>
          </w:p>
        </w:tc>
        <w:tc>
          <w:tcPr>
            <w:tcW w:w="2127" w:type="dxa"/>
            <w:noWrap/>
            <w:hideMark/>
          </w:tcPr>
          <w:p w14:paraId="1B4DF555" w14:textId="77777777" w:rsidR="00655643" w:rsidRPr="00655643" w:rsidRDefault="00655643" w:rsidP="00655643">
            <w:pPr>
              <w:spacing w:after="160" w:line="259" w:lineRule="auto"/>
            </w:pPr>
            <w:r w:rsidRPr="00655643">
              <w:t>Arlene Reynolds, Richard Peabody, etc.</w:t>
            </w:r>
          </w:p>
        </w:tc>
        <w:tc>
          <w:tcPr>
            <w:tcW w:w="3888" w:type="dxa"/>
            <w:shd w:val="clear" w:color="auto" w:fill="E7E6E6" w:themeFill="background2"/>
          </w:tcPr>
          <w:p w14:paraId="06CBB6AB" w14:textId="2E028E51" w:rsidR="00655643" w:rsidRPr="00655643" w:rsidRDefault="00655643" w:rsidP="00655643">
            <w:pPr>
              <w:spacing w:after="160" w:line="259" w:lineRule="auto"/>
            </w:pPr>
            <w:r w:rsidRPr="00655643">
              <w:t>No real update on this. Analysis was underway pre-covid, but was never completed.</w:t>
            </w:r>
          </w:p>
          <w:p w14:paraId="502B79EA" w14:textId="77777777" w:rsidR="00655643" w:rsidRPr="00655643" w:rsidRDefault="00655643" w:rsidP="00655643">
            <w:pPr>
              <w:spacing w:after="160" w:line="259" w:lineRule="auto"/>
            </w:pPr>
            <w:r w:rsidRPr="00655643">
              <w:t xml:space="preserve">Discussion required re. what more is needed. </w:t>
            </w:r>
          </w:p>
        </w:tc>
      </w:tr>
      <w:tr w:rsidR="00655643" w:rsidRPr="00655643" w14:paraId="16AEF135" w14:textId="77777777" w:rsidTr="00655643">
        <w:trPr>
          <w:trHeight w:val="600"/>
        </w:trPr>
        <w:tc>
          <w:tcPr>
            <w:tcW w:w="0" w:type="auto"/>
            <w:noWrap/>
            <w:hideMark/>
          </w:tcPr>
          <w:p w14:paraId="697D9CDD" w14:textId="77777777" w:rsidR="00655643" w:rsidRPr="00655643" w:rsidRDefault="00655643" w:rsidP="00655643">
            <w:pPr>
              <w:spacing w:after="160" w:line="259" w:lineRule="auto"/>
            </w:pPr>
            <w:bookmarkStart w:id="4" w:name="_Hlk70526344"/>
            <w:r w:rsidRPr="00655643">
              <w:t>Limits to LE</w:t>
            </w:r>
          </w:p>
        </w:tc>
        <w:tc>
          <w:tcPr>
            <w:tcW w:w="0" w:type="auto"/>
            <w:hideMark/>
          </w:tcPr>
          <w:p w14:paraId="12F7C219" w14:textId="77777777" w:rsidR="00655643" w:rsidRPr="00655643" w:rsidRDefault="00655643" w:rsidP="00655643">
            <w:pPr>
              <w:spacing w:after="160" w:line="259" w:lineRule="auto"/>
            </w:pPr>
            <w:r w:rsidRPr="00655643">
              <w:t>Testing of ‘limits to life expectancy’ hypothesis</w:t>
            </w:r>
          </w:p>
        </w:tc>
        <w:tc>
          <w:tcPr>
            <w:tcW w:w="4477" w:type="dxa"/>
            <w:hideMark/>
          </w:tcPr>
          <w:p w14:paraId="45DDFD91" w14:textId="77777777" w:rsidR="00655643" w:rsidRPr="00655643" w:rsidRDefault="00655643" w:rsidP="00655643">
            <w:pPr>
              <w:spacing w:after="160" w:line="259" w:lineRule="auto"/>
            </w:pPr>
            <w:r w:rsidRPr="00655643">
              <w:t>Ecological analysis of whether the trends in LE are slower in countries with higher LE</w:t>
            </w:r>
          </w:p>
        </w:tc>
        <w:tc>
          <w:tcPr>
            <w:tcW w:w="2127" w:type="dxa"/>
            <w:noWrap/>
            <w:hideMark/>
          </w:tcPr>
          <w:p w14:paraId="70557E43" w14:textId="77777777" w:rsidR="00655643" w:rsidRPr="00655643" w:rsidRDefault="00655643" w:rsidP="00655643">
            <w:pPr>
              <w:spacing w:after="160" w:line="259" w:lineRule="auto"/>
            </w:pPr>
            <w:r w:rsidRPr="00655643">
              <w:t xml:space="preserve">Rebecca Devine and Jon Minton </w:t>
            </w:r>
          </w:p>
        </w:tc>
        <w:tc>
          <w:tcPr>
            <w:tcW w:w="3888" w:type="dxa"/>
            <w:shd w:val="clear" w:color="auto" w:fill="E7E6E6" w:themeFill="background2"/>
          </w:tcPr>
          <w:p w14:paraId="2EDAB06C" w14:textId="331A907E" w:rsidR="00655643" w:rsidRPr="00655643" w:rsidRDefault="00655643" w:rsidP="00655643">
            <w:pPr>
              <w:spacing w:after="160" w:line="259" w:lineRule="auto"/>
            </w:pPr>
            <w:r w:rsidRPr="00655643">
              <w:t>Draft written but not progressed. May be revised and updated in coming months (JM).</w:t>
            </w:r>
          </w:p>
        </w:tc>
      </w:tr>
      <w:bookmarkEnd w:id="4"/>
      <w:tr w:rsidR="00655643" w:rsidRPr="00655643" w14:paraId="00398C0B" w14:textId="77777777" w:rsidTr="00655643">
        <w:trPr>
          <w:trHeight w:val="300"/>
        </w:trPr>
        <w:tc>
          <w:tcPr>
            <w:tcW w:w="0" w:type="auto"/>
            <w:noWrap/>
            <w:hideMark/>
          </w:tcPr>
          <w:p w14:paraId="50684D27" w14:textId="77777777" w:rsidR="00655643" w:rsidRPr="00655643" w:rsidRDefault="00655643" w:rsidP="00655643">
            <w:pPr>
              <w:spacing w:after="160" w:line="259" w:lineRule="auto"/>
            </w:pPr>
            <w:r w:rsidRPr="00655643">
              <w:t>Morbidity</w:t>
            </w:r>
          </w:p>
        </w:tc>
        <w:tc>
          <w:tcPr>
            <w:tcW w:w="0" w:type="auto"/>
            <w:hideMark/>
          </w:tcPr>
          <w:p w14:paraId="4C64B546" w14:textId="77777777" w:rsidR="00655643" w:rsidRPr="00655643" w:rsidRDefault="00655643" w:rsidP="00655643">
            <w:pPr>
              <w:spacing w:after="160" w:line="259" w:lineRule="auto"/>
            </w:pPr>
            <w:r w:rsidRPr="00655643">
              <w:t>Trends in Healthy Life Expectancy (HLE)</w:t>
            </w:r>
          </w:p>
        </w:tc>
        <w:tc>
          <w:tcPr>
            <w:tcW w:w="4477" w:type="dxa"/>
            <w:hideMark/>
          </w:tcPr>
          <w:p w14:paraId="4E8B0BAE" w14:textId="77777777" w:rsidR="00655643" w:rsidRPr="00655643" w:rsidRDefault="00655643" w:rsidP="00655643">
            <w:pPr>
              <w:spacing w:after="160" w:line="259" w:lineRule="auto"/>
            </w:pPr>
            <w:r w:rsidRPr="00655643">
              <w:t xml:space="preserve">Analysis of the trends in morbidity and HLE </w:t>
            </w:r>
          </w:p>
        </w:tc>
        <w:tc>
          <w:tcPr>
            <w:tcW w:w="2127" w:type="dxa"/>
            <w:noWrap/>
            <w:hideMark/>
          </w:tcPr>
          <w:p w14:paraId="474BF677" w14:textId="77777777" w:rsidR="00655643" w:rsidRPr="00655643" w:rsidRDefault="00655643" w:rsidP="00655643">
            <w:pPr>
              <w:spacing w:after="160" w:line="259" w:lineRule="auto"/>
            </w:pPr>
            <w:r w:rsidRPr="00655643">
              <w:t>DW/Grant Wyper</w:t>
            </w:r>
          </w:p>
        </w:tc>
        <w:tc>
          <w:tcPr>
            <w:tcW w:w="3888" w:type="dxa"/>
            <w:shd w:val="clear" w:color="auto" w:fill="E7E6E6" w:themeFill="background2"/>
          </w:tcPr>
          <w:p w14:paraId="1CA4FAE3" w14:textId="1D260E2A" w:rsidR="00655643" w:rsidRPr="00655643" w:rsidRDefault="00655643" w:rsidP="00655643">
            <w:pPr>
              <w:spacing w:after="160" w:line="259" w:lineRule="auto"/>
            </w:pPr>
            <w:r w:rsidRPr="00655643">
              <w:t>This has now become a slightly different project than was originally envisaged. It will now seek to calculate pre- and post-austerity trends in HLE using data from the Scottish Health Survey.</w:t>
            </w:r>
          </w:p>
        </w:tc>
      </w:tr>
      <w:tr w:rsidR="00655643" w:rsidRPr="00655643" w14:paraId="3B6A1489" w14:textId="77777777" w:rsidTr="00655643">
        <w:trPr>
          <w:trHeight w:val="600"/>
        </w:trPr>
        <w:tc>
          <w:tcPr>
            <w:tcW w:w="0" w:type="auto"/>
            <w:noWrap/>
            <w:hideMark/>
          </w:tcPr>
          <w:p w14:paraId="3ABE309A" w14:textId="77777777" w:rsidR="00655643" w:rsidRPr="00655643" w:rsidRDefault="00655643" w:rsidP="00655643">
            <w:pPr>
              <w:spacing w:after="160" w:line="259" w:lineRule="auto"/>
            </w:pPr>
            <w:r w:rsidRPr="00655643">
              <w:t>Obesity</w:t>
            </w:r>
          </w:p>
        </w:tc>
        <w:tc>
          <w:tcPr>
            <w:tcW w:w="0" w:type="auto"/>
            <w:hideMark/>
          </w:tcPr>
          <w:p w14:paraId="2D5B5D0A" w14:textId="77777777" w:rsidR="00655643" w:rsidRPr="00655643" w:rsidRDefault="00655643" w:rsidP="00655643">
            <w:pPr>
              <w:spacing w:after="160" w:line="259" w:lineRule="auto"/>
            </w:pPr>
            <w:r w:rsidRPr="00655643">
              <w:t>Ecological analysis</w:t>
            </w:r>
          </w:p>
        </w:tc>
        <w:tc>
          <w:tcPr>
            <w:tcW w:w="4477" w:type="dxa"/>
            <w:hideMark/>
          </w:tcPr>
          <w:p w14:paraId="250D095F" w14:textId="77777777" w:rsidR="00655643" w:rsidRPr="00655643" w:rsidRDefault="00655643" w:rsidP="00655643">
            <w:pPr>
              <w:spacing w:after="160" w:line="259" w:lineRule="auto"/>
            </w:pPr>
            <w:r w:rsidRPr="00655643">
              <w:t>Analysis of whether countries with greater increases in obesity have seen the greatest slowdowns in LE</w:t>
            </w:r>
          </w:p>
        </w:tc>
        <w:tc>
          <w:tcPr>
            <w:tcW w:w="2127" w:type="dxa"/>
            <w:noWrap/>
            <w:hideMark/>
          </w:tcPr>
          <w:p w14:paraId="002D58F5" w14:textId="77777777" w:rsidR="00655643" w:rsidRPr="00655643" w:rsidRDefault="00655643" w:rsidP="00655643">
            <w:pPr>
              <w:spacing w:after="160" w:line="259" w:lineRule="auto"/>
            </w:pPr>
            <w:r w:rsidRPr="00655643">
              <w:t>Rebecca Devine</w:t>
            </w:r>
          </w:p>
        </w:tc>
        <w:tc>
          <w:tcPr>
            <w:tcW w:w="3888" w:type="dxa"/>
            <w:shd w:val="clear" w:color="auto" w:fill="E7E6E6" w:themeFill="background2"/>
          </w:tcPr>
          <w:p w14:paraId="60125C41" w14:textId="0F5C20CF" w:rsidR="00655643" w:rsidRPr="00655643" w:rsidRDefault="00655643" w:rsidP="009D1AAE">
            <w:pPr>
              <w:spacing w:after="160" w:line="259" w:lineRule="auto"/>
            </w:pPr>
            <w:r w:rsidRPr="00655643">
              <w:t>Analysis was started pre-covid but never completed.</w:t>
            </w:r>
            <w:r w:rsidR="009D1AAE">
              <w:t xml:space="preserve"> Future progress t</w:t>
            </w:r>
            <w:r w:rsidRPr="00655643">
              <w:t xml:space="preserve">o be discussed – but likely to be dropped if Triple I obesity project (see above) provides useful evidence. </w:t>
            </w:r>
          </w:p>
        </w:tc>
      </w:tr>
      <w:tr w:rsidR="00655643" w:rsidRPr="00655643" w14:paraId="790711FD" w14:textId="77777777" w:rsidTr="00655643">
        <w:trPr>
          <w:trHeight w:val="600"/>
        </w:trPr>
        <w:tc>
          <w:tcPr>
            <w:tcW w:w="0" w:type="auto"/>
            <w:noWrap/>
            <w:hideMark/>
          </w:tcPr>
          <w:p w14:paraId="6FA2AD53" w14:textId="77777777" w:rsidR="00655643" w:rsidRPr="00655643" w:rsidRDefault="00655643" w:rsidP="00655643">
            <w:pPr>
              <w:spacing w:after="160" w:line="259" w:lineRule="auto"/>
            </w:pPr>
            <w:r w:rsidRPr="00655643">
              <w:t>Services</w:t>
            </w:r>
          </w:p>
        </w:tc>
        <w:tc>
          <w:tcPr>
            <w:tcW w:w="0" w:type="auto"/>
            <w:hideMark/>
          </w:tcPr>
          <w:p w14:paraId="4EE03606" w14:textId="77777777" w:rsidR="00655643" w:rsidRPr="00655643" w:rsidRDefault="00655643" w:rsidP="00655643">
            <w:pPr>
              <w:spacing w:after="160" w:line="259" w:lineRule="auto"/>
            </w:pPr>
            <w:r w:rsidRPr="00655643">
              <w:t>Service pressures protocol</w:t>
            </w:r>
          </w:p>
        </w:tc>
        <w:tc>
          <w:tcPr>
            <w:tcW w:w="4477" w:type="dxa"/>
            <w:hideMark/>
          </w:tcPr>
          <w:p w14:paraId="0A855B2D" w14:textId="77777777" w:rsidR="00655643" w:rsidRPr="00655643" w:rsidRDefault="00655643" w:rsidP="00655643">
            <w:pPr>
              <w:spacing w:after="160" w:line="259" w:lineRule="auto"/>
            </w:pPr>
            <w:r w:rsidRPr="00655643">
              <w:t>Analysis of the extent to which markers of health and social care pressures can explain trends in Scotland</w:t>
            </w:r>
          </w:p>
        </w:tc>
        <w:tc>
          <w:tcPr>
            <w:tcW w:w="2127" w:type="dxa"/>
            <w:noWrap/>
            <w:hideMark/>
          </w:tcPr>
          <w:p w14:paraId="39077C67" w14:textId="77777777" w:rsidR="00655643" w:rsidRPr="00655643" w:rsidRDefault="00655643" w:rsidP="00655643">
            <w:pPr>
              <w:spacing w:after="160" w:line="259" w:lineRule="auto"/>
            </w:pPr>
            <w:r w:rsidRPr="00655643">
              <w:t>Christina Wraw</w:t>
            </w:r>
          </w:p>
        </w:tc>
        <w:tc>
          <w:tcPr>
            <w:tcW w:w="3888" w:type="dxa"/>
            <w:shd w:val="clear" w:color="auto" w:fill="E7E6E6" w:themeFill="background2"/>
          </w:tcPr>
          <w:p w14:paraId="6F3C57F4" w14:textId="77777777" w:rsidR="00655643" w:rsidRPr="00655643" w:rsidRDefault="00655643" w:rsidP="00655643">
            <w:pPr>
              <w:spacing w:after="160" w:line="259" w:lineRule="auto"/>
            </w:pPr>
            <w:r w:rsidRPr="00655643">
              <w:t>Analyses completed and write-up nearing completion.</w:t>
            </w:r>
          </w:p>
        </w:tc>
      </w:tr>
      <w:tr w:rsidR="00655643" w:rsidRPr="00655643" w14:paraId="4D63EBF6" w14:textId="77777777" w:rsidTr="00655643">
        <w:trPr>
          <w:trHeight w:val="300"/>
        </w:trPr>
        <w:tc>
          <w:tcPr>
            <w:tcW w:w="0" w:type="auto"/>
            <w:noWrap/>
            <w:hideMark/>
          </w:tcPr>
          <w:p w14:paraId="1F4A1BE9" w14:textId="77777777" w:rsidR="00655643" w:rsidRPr="00655643" w:rsidRDefault="00655643" w:rsidP="00655643">
            <w:pPr>
              <w:spacing w:after="160" w:line="259" w:lineRule="auto"/>
            </w:pPr>
            <w:r w:rsidRPr="00655643">
              <w:t xml:space="preserve">Descriptive </w:t>
            </w:r>
          </w:p>
        </w:tc>
        <w:tc>
          <w:tcPr>
            <w:tcW w:w="0" w:type="auto"/>
            <w:hideMark/>
          </w:tcPr>
          <w:p w14:paraId="791D7D00" w14:textId="77777777" w:rsidR="00655643" w:rsidRPr="00655643" w:rsidRDefault="00655643" w:rsidP="00655643">
            <w:pPr>
              <w:spacing w:after="160" w:line="259" w:lineRule="auto"/>
            </w:pPr>
            <w:r w:rsidRPr="00655643">
              <w:t>Projections</w:t>
            </w:r>
          </w:p>
        </w:tc>
        <w:tc>
          <w:tcPr>
            <w:tcW w:w="4477" w:type="dxa"/>
            <w:hideMark/>
          </w:tcPr>
          <w:p w14:paraId="7B517483" w14:textId="77777777" w:rsidR="00655643" w:rsidRPr="00655643" w:rsidRDefault="00655643" w:rsidP="00655643">
            <w:pPr>
              <w:spacing w:after="160" w:line="259" w:lineRule="auto"/>
            </w:pPr>
            <w:r w:rsidRPr="00655643">
              <w:t>Compares projected with actual LE data for UK nations from 2011</w:t>
            </w:r>
          </w:p>
        </w:tc>
        <w:tc>
          <w:tcPr>
            <w:tcW w:w="2127" w:type="dxa"/>
            <w:noWrap/>
            <w:hideMark/>
          </w:tcPr>
          <w:p w14:paraId="7EEFCE2E" w14:textId="77777777" w:rsidR="00655643" w:rsidRPr="00655643" w:rsidRDefault="00655643" w:rsidP="00655643">
            <w:pPr>
              <w:spacing w:after="160" w:line="259" w:lineRule="auto"/>
            </w:pPr>
            <w:r w:rsidRPr="00655643">
              <w:t>Jon Minton</w:t>
            </w:r>
          </w:p>
        </w:tc>
        <w:tc>
          <w:tcPr>
            <w:tcW w:w="3888" w:type="dxa"/>
            <w:shd w:val="clear" w:color="auto" w:fill="E7E6E6" w:themeFill="background2"/>
          </w:tcPr>
          <w:p w14:paraId="50C5C002" w14:textId="77777777" w:rsidR="00655643" w:rsidRPr="00655643" w:rsidRDefault="00655643" w:rsidP="00655643">
            <w:pPr>
              <w:spacing w:after="160" w:line="259" w:lineRule="auto"/>
            </w:pPr>
            <w:r w:rsidRPr="00655643">
              <w:sym w:font="Wingdings 2" w:char="F050"/>
            </w:r>
            <w:r w:rsidRPr="00655643">
              <w:t xml:space="preserve"> Published in JECH</w:t>
            </w:r>
            <w:r w:rsidRPr="00655643">
              <w:rPr>
                <w:vertAlign w:val="superscript"/>
              </w:rPr>
              <w:endnoteReference w:id="6"/>
            </w:r>
          </w:p>
        </w:tc>
      </w:tr>
      <w:tr w:rsidR="00655643" w:rsidRPr="00655643" w14:paraId="59156787" w14:textId="77777777" w:rsidTr="00655643">
        <w:trPr>
          <w:trHeight w:val="300"/>
        </w:trPr>
        <w:tc>
          <w:tcPr>
            <w:tcW w:w="0" w:type="auto"/>
            <w:noWrap/>
          </w:tcPr>
          <w:p w14:paraId="0D60110A" w14:textId="77777777" w:rsidR="00655643" w:rsidRPr="00655643" w:rsidRDefault="00655643" w:rsidP="00655643">
            <w:pPr>
              <w:spacing w:after="160" w:line="259" w:lineRule="auto"/>
            </w:pPr>
            <w:r w:rsidRPr="00655643">
              <w:t>Descriptive</w:t>
            </w:r>
          </w:p>
        </w:tc>
        <w:tc>
          <w:tcPr>
            <w:tcW w:w="0" w:type="auto"/>
          </w:tcPr>
          <w:p w14:paraId="397A69DA" w14:textId="77777777" w:rsidR="00655643" w:rsidRPr="00655643" w:rsidRDefault="00655643" w:rsidP="00655643">
            <w:pPr>
              <w:spacing w:after="160" w:line="259" w:lineRule="auto"/>
            </w:pPr>
            <w:r w:rsidRPr="00655643">
              <w:t>UK countries and cities</w:t>
            </w:r>
          </w:p>
        </w:tc>
        <w:tc>
          <w:tcPr>
            <w:tcW w:w="4477" w:type="dxa"/>
          </w:tcPr>
          <w:p w14:paraId="283B9308" w14:textId="77777777" w:rsidR="00655643" w:rsidRPr="00655643" w:rsidRDefault="00655643" w:rsidP="00655643">
            <w:pPr>
              <w:spacing w:after="160" w:line="259" w:lineRule="auto"/>
            </w:pPr>
            <w:r w:rsidRPr="00655643">
              <w:t>Trends in all-cause and cause-specific mortality in countries and cities of the UK</w:t>
            </w:r>
          </w:p>
        </w:tc>
        <w:tc>
          <w:tcPr>
            <w:tcW w:w="2127" w:type="dxa"/>
            <w:noWrap/>
          </w:tcPr>
          <w:p w14:paraId="108474A6" w14:textId="77777777" w:rsidR="00655643" w:rsidRPr="00655643" w:rsidRDefault="00655643" w:rsidP="00655643">
            <w:pPr>
              <w:spacing w:after="160" w:line="259" w:lineRule="auto"/>
            </w:pPr>
            <w:r w:rsidRPr="00655643">
              <w:t>DW</w:t>
            </w:r>
          </w:p>
        </w:tc>
        <w:tc>
          <w:tcPr>
            <w:tcW w:w="3888" w:type="dxa"/>
            <w:shd w:val="clear" w:color="auto" w:fill="E7E6E6" w:themeFill="background2"/>
          </w:tcPr>
          <w:p w14:paraId="447BB682" w14:textId="77777777" w:rsidR="00655643" w:rsidRPr="00655643" w:rsidRDefault="00655643" w:rsidP="00655643">
            <w:pPr>
              <w:spacing w:after="160" w:line="259" w:lineRule="auto"/>
            </w:pPr>
            <w:r w:rsidRPr="00655643">
              <w:sym w:font="Wingdings 2" w:char="F050"/>
            </w:r>
            <w:r w:rsidRPr="00655643">
              <w:t xml:space="preserve"> Published in BMJ Open</w:t>
            </w:r>
            <w:r w:rsidRPr="00655643">
              <w:rPr>
                <w:vertAlign w:val="superscript"/>
              </w:rPr>
              <w:endnoteReference w:id="7"/>
            </w:r>
          </w:p>
        </w:tc>
      </w:tr>
      <w:tr w:rsidR="00655643" w:rsidRPr="00655643" w14:paraId="5625F7F1" w14:textId="77777777" w:rsidTr="00655643">
        <w:trPr>
          <w:trHeight w:val="600"/>
        </w:trPr>
        <w:tc>
          <w:tcPr>
            <w:tcW w:w="0" w:type="auto"/>
            <w:noWrap/>
          </w:tcPr>
          <w:p w14:paraId="253178C4" w14:textId="77777777" w:rsidR="00655643" w:rsidRPr="00655643" w:rsidRDefault="00655643" w:rsidP="00655643">
            <w:pPr>
              <w:spacing w:after="160" w:line="259" w:lineRule="auto"/>
            </w:pPr>
            <w:r w:rsidRPr="00655643">
              <w:t>Descriptive</w:t>
            </w:r>
          </w:p>
        </w:tc>
        <w:tc>
          <w:tcPr>
            <w:tcW w:w="0" w:type="auto"/>
          </w:tcPr>
          <w:p w14:paraId="75F2BF0E" w14:textId="77777777" w:rsidR="00655643" w:rsidRPr="00655643" w:rsidRDefault="00655643" w:rsidP="00655643">
            <w:pPr>
              <w:spacing w:after="160" w:line="259" w:lineRule="auto"/>
            </w:pPr>
            <w:r w:rsidRPr="00655643">
              <w:t>Male/female differences</w:t>
            </w:r>
          </w:p>
        </w:tc>
        <w:tc>
          <w:tcPr>
            <w:tcW w:w="4477" w:type="dxa"/>
          </w:tcPr>
          <w:p w14:paraId="7C9883B4" w14:textId="77777777" w:rsidR="00655643" w:rsidRPr="00655643" w:rsidRDefault="00655643" w:rsidP="00655643">
            <w:pPr>
              <w:spacing w:after="160" w:line="259" w:lineRule="auto"/>
            </w:pPr>
            <w:r w:rsidRPr="00655643">
              <w:t>Male-female differences in changing mortality rates in the UK</w:t>
            </w:r>
          </w:p>
        </w:tc>
        <w:tc>
          <w:tcPr>
            <w:tcW w:w="2127" w:type="dxa"/>
            <w:noWrap/>
          </w:tcPr>
          <w:p w14:paraId="020187E8" w14:textId="77777777" w:rsidR="00655643" w:rsidRPr="00655643" w:rsidRDefault="00655643" w:rsidP="00655643">
            <w:pPr>
              <w:spacing w:after="160" w:line="259" w:lineRule="auto"/>
            </w:pPr>
            <w:r w:rsidRPr="00655643">
              <w:t>DW/GM/Ruth Dundas</w:t>
            </w:r>
          </w:p>
        </w:tc>
        <w:tc>
          <w:tcPr>
            <w:tcW w:w="3888" w:type="dxa"/>
            <w:shd w:val="clear" w:color="auto" w:fill="E7E6E6" w:themeFill="background2"/>
          </w:tcPr>
          <w:p w14:paraId="725230C5" w14:textId="2FC3A46D" w:rsidR="00655643" w:rsidRPr="00655643" w:rsidRDefault="00655643" w:rsidP="00655643">
            <w:pPr>
              <w:spacing w:after="160" w:line="259" w:lineRule="auto"/>
            </w:pPr>
            <w:r w:rsidRPr="00655643">
              <w:t>New project: this will (1) update previous trends; (2) examine male-female differences alongside assessment of potential differing gender impact of austerity; (3) quantify the extra observed deaths across the UK since 2010 (in comparison with ‘expected’ rates based on previous trends).</w:t>
            </w:r>
          </w:p>
        </w:tc>
      </w:tr>
    </w:tbl>
    <w:p w14:paraId="09A5B47E" w14:textId="77777777" w:rsidR="00655643" w:rsidRPr="00655643" w:rsidRDefault="00655643" w:rsidP="00655643"/>
    <w:p w14:paraId="3509F461" w14:textId="77777777" w:rsidR="00655643" w:rsidRPr="00655643" w:rsidRDefault="00655643" w:rsidP="00655643">
      <w:r w:rsidRPr="00655643">
        <w:br w:type="page"/>
      </w:r>
    </w:p>
    <w:p w14:paraId="59F10654" w14:textId="77777777" w:rsidR="00655643" w:rsidRPr="00655643" w:rsidRDefault="00655643" w:rsidP="00655643">
      <w:pPr>
        <w:rPr>
          <w:b/>
          <w:bCs/>
        </w:rPr>
      </w:pPr>
      <w:r w:rsidRPr="00655643">
        <w:rPr>
          <w:b/>
          <w:bCs/>
        </w:rPr>
        <w:lastRenderedPageBreak/>
        <w:t>References</w:t>
      </w:r>
    </w:p>
    <w:sectPr w:rsidR="00655643" w:rsidRPr="00655643" w:rsidSect="00123E03">
      <w:footerReference w:type="default" r:id="rId7"/>
      <w:endnotePr>
        <w:numFmt w:val="decimal"/>
      </w:endnotePr>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DDF1E" w14:textId="77777777" w:rsidR="00FD7C75" w:rsidRDefault="00FD7C75" w:rsidP="00655643">
      <w:pPr>
        <w:spacing w:after="0" w:line="240" w:lineRule="auto"/>
      </w:pPr>
    </w:p>
  </w:endnote>
  <w:endnote w:type="continuationSeparator" w:id="0">
    <w:p w14:paraId="1E213779" w14:textId="77777777" w:rsidR="00FD7C75" w:rsidRDefault="00FD7C75" w:rsidP="00655643">
      <w:pPr>
        <w:spacing w:after="0" w:line="240" w:lineRule="auto"/>
      </w:pPr>
    </w:p>
  </w:endnote>
  <w:endnote w:id="1">
    <w:p w14:paraId="4378BCAC" w14:textId="6BADAD1F" w:rsidR="00655643" w:rsidRPr="00655643" w:rsidRDefault="00655643" w:rsidP="00655643">
      <w:pPr>
        <w:pStyle w:val="EndnoteText"/>
        <w:spacing w:after="160" w:line="259" w:lineRule="auto"/>
        <w:rPr>
          <w:sz w:val="22"/>
          <w:szCs w:val="22"/>
        </w:rPr>
      </w:pPr>
      <w:r w:rsidRPr="00655643">
        <w:rPr>
          <w:rStyle w:val="EndnoteReference"/>
          <w:sz w:val="22"/>
          <w:szCs w:val="22"/>
        </w:rPr>
        <w:endnoteRef/>
      </w:r>
      <w:r w:rsidRPr="00655643">
        <w:rPr>
          <w:sz w:val="22"/>
          <w:szCs w:val="22"/>
        </w:rPr>
        <w:t xml:space="preserve"> Richardson E, Taulbut M, Robinson M, Pulford A, McCartney G. The contribution of changes to tax and social security to stalled life expectancy trends in Scotland: a modelling study. </w:t>
      </w:r>
      <w:r w:rsidR="009D1AAE" w:rsidRPr="00655643">
        <w:rPr>
          <w:sz w:val="22"/>
          <w:szCs w:val="22"/>
        </w:rPr>
        <w:t xml:space="preserve">Journal of Epidemiology &amp; Community Health </w:t>
      </w:r>
      <w:r w:rsidRPr="00655643">
        <w:rPr>
          <w:sz w:val="22"/>
          <w:szCs w:val="22"/>
        </w:rPr>
        <w:t>2020; 75(4): 365–70.</w:t>
      </w:r>
    </w:p>
  </w:endnote>
  <w:endnote w:id="2">
    <w:p w14:paraId="09EADCF7" w14:textId="77777777" w:rsidR="00655643" w:rsidRPr="00655643" w:rsidRDefault="00655643" w:rsidP="00655643">
      <w:pPr>
        <w:pStyle w:val="EndnoteText"/>
        <w:spacing w:after="160" w:line="259" w:lineRule="auto"/>
        <w:rPr>
          <w:sz w:val="22"/>
          <w:szCs w:val="22"/>
        </w:rPr>
      </w:pPr>
      <w:r w:rsidRPr="00655643">
        <w:rPr>
          <w:rStyle w:val="EndnoteReference"/>
          <w:sz w:val="22"/>
          <w:szCs w:val="22"/>
        </w:rPr>
        <w:endnoteRef/>
      </w:r>
      <w:r w:rsidRPr="00655643">
        <w:rPr>
          <w:sz w:val="22"/>
          <w:szCs w:val="22"/>
        </w:rPr>
        <w:t xml:space="preserve"> McCartney G, Fenton L, Minton J, et al. Is austerity responsible for the recent change in mortality trends across high-income nations? A protocol for an observational study. BMJ Open 2020; 10(1): e034832.</w:t>
      </w:r>
    </w:p>
  </w:endnote>
  <w:endnote w:id="3">
    <w:p w14:paraId="122BB857" w14:textId="77777777" w:rsidR="00655643" w:rsidRPr="00655643" w:rsidRDefault="00655643" w:rsidP="00655643">
      <w:pPr>
        <w:pStyle w:val="EndnoteText"/>
        <w:spacing w:after="160" w:line="259" w:lineRule="auto"/>
        <w:rPr>
          <w:sz w:val="22"/>
          <w:szCs w:val="22"/>
        </w:rPr>
      </w:pPr>
      <w:r w:rsidRPr="00655643">
        <w:rPr>
          <w:rStyle w:val="EndnoteReference"/>
          <w:sz w:val="22"/>
          <w:szCs w:val="22"/>
        </w:rPr>
        <w:endnoteRef/>
      </w:r>
      <w:r w:rsidRPr="00655643">
        <w:rPr>
          <w:sz w:val="22"/>
          <w:szCs w:val="22"/>
        </w:rPr>
        <w:t xml:space="preserve"> Hiam L., Minton J., McKee M. What can lifespan variation reveal that life expectancy hides? Comparison of five high-income countries. Journal of the Royal Society of Medicine (in press)</w:t>
      </w:r>
    </w:p>
  </w:endnote>
  <w:endnote w:id="4">
    <w:p w14:paraId="324B9575" w14:textId="77777777" w:rsidR="00655643" w:rsidRPr="00655643" w:rsidRDefault="00655643" w:rsidP="00655643">
      <w:pPr>
        <w:pStyle w:val="EndnoteText"/>
        <w:spacing w:after="160" w:line="259" w:lineRule="auto"/>
        <w:rPr>
          <w:sz w:val="22"/>
          <w:szCs w:val="22"/>
        </w:rPr>
      </w:pPr>
      <w:r w:rsidRPr="00655643">
        <w:rPr>
          <w:rStyle w:val="EndnoteReference"/>
          <w:sz w:val="22"/>
          <w:szCs w:val="22"/>
        </w:rPr>
        <w:endnoteRef/>
      </w:r>
      <w:r w:rsidRPr="00655643">
        <w:rPr>
          <w:sz w:val="22"/>
          <w:szCs w:val="22"/>
        </w:rPr>
        <w:t xml:space="preserve"> Fenton L., Minton J., Ramsay J. et al. Recent adverse mortality trends in Scotland: comparison with other high-income countries. BMJ Open 2019; 9: e029936.</w:t>
      </w:r>
    </w:p>
  </w:endnote>
  <w:endnote w:id="5">
    <w:p w14:paraId="18B177A8" w14:textId="77777777" w:rsidR="00655643" w:rsidRPr="00655643" w:rsidRDefault="00655643" w:rsidP="00655643">
      <w:pPr>
        <w:pStyle w:val="EndnoteText"/>
        <w:spacing w:after="160" w:line="259" w:lineRule="auto"/>
        <w:rPr>
          <w:sz w:val="22"/>
          <w:szCs w:val="22"/>
        </w:rPr>
      </w:pPr>
      <w:r w:rsidRPr="00655643">
        <w:rPr>
          <w:rStyle w:val="EndnoteReference"/>
          <w:sz w:val="22"/>
          <w:szCs w:val="22"/>
        </w:rPr>
        <w:endnoteRef/>
      </w:r>
      <w:r w:rsidRPr="00655643">
        <w:rPr>
          <w:sz w:val="22"/>
          <w:szCs w:val="22"/>
        </w:rPr>
        <w:t xml:space="preserve"> Fenton L., Wyper G.M., McCartney G., Minton, J. Socioeconomic inequality in recent adverse all-cause mortality trends in Scotland Journal of Epidemiology &amp; Community Health 2019; 73: 971-974.</w:t>
      </w:r>
    </w:p>
  </w:endnote>
  <w:endnote w:id="6">
    <w:p w14:paraId="6B482CD0" w14:textId="77777777" w:rsidR="00655643" w:rsidRPr="00655643" w:rsidRDefault="00655643" w:rsidP="00655643">
      <w:pPr>
        <w:pStyle w:val="EndnoteText"/>
        <w:spacing w:after="160" w:line="259" w:lineRule="auto"/>
        <w:rPr>
          <w:sz w:val="22"/>
          <w:szCs w:val="22"/>
        </w:rPr>
      </w:pPr>
      <w:r w:rsidRPr="00655643">
        <w:rPr>
          <w:rStyle w:val="EndnoteReference"/>
          <w:sz w:val="22"/>
          <w:szCs w:val="22"/>
        </w:rPr>
        <w:endnoteRef/>
      </w:r>
      <w:r w:rsidRPr="00655643">
        <w:rPr>
          <w:sz w:val="22"/>
          <w:szCs w:val="22"/>
        </w:rPr>
        <w:t xml:space="preserve"> Minton J, Fletcher E, Ramsay J, Little K, McCartney G. How bad are life expectancy trends across the UK, and what would it take to get back to previous trends? Journal of Epidemiology &amp; Community Health 2020;74(9): 741-746.</w:t>
      </w:r>
    </w:p>
  </w:endnote>
  <w:endnote w:id="7">
    <w:p w14:paraId="4AEC1E06" w14:textId="77777777" w:rsidR="00655643" w:rsidRPr="00655643" w:rsidRDefault="00655643" w:rsidP="00655643">
      <w:pPr>
        <w:pStyle w:val="EndnoteText"/>
        <w:spacing w:after="160" w:line="259" w:lineRule="auto"/>
        <w:rPr>
          <w:sz w:val="22"/>
          <w:szCs w:val="22"/>
        </w:rPr>
      </w:pPr>
      <w:r w:rsidRPr="00655643">
        <w:rPr>
          <w:rStyle w:val="EndnoteReference"/>
          <w:sz w:val="22"/>
          <w:szCs w:val="22"/>
        </w:rPr>
        <w:endnoteRef/>
      </w:r>
      <w:r w:rsidRPr="00655643">
        <w:rPr>
          <w:sz w:val="22"/>
          <w:szCs w:val="22"/>
        </w:rPr>
        <w:t xml:space="preserve"> Walsh D., McCartney G., Minton J., Parkinson J., Shipton D., Whyte B. Changing mortality trends in countries and cities of the UK: a population-based trend analysis. BMJ Open 2020; 10: e038135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595107"/>
      <w:docPartObj>
        <w:docPartGallery w:val="Page Numbers (Bottom of Page)"/>
        <w:docPartUnique/>
      </w:docPartObj>
    </w:sdtPr>
    <w:sdtEndPr>
      <w:rPr>
        <w:noProof/>
      </w:rPr>
    </w:sdtEndPr>
    <w:sdtContent>
      <w:p w14:paraId="5F48ACC3" w14:textId="77777777" w:rsidR="001B36C3" w:rsidRDefault="009D1AAE">
        <w:pPr>
          <w:pStyle w:val="Footer"/>
          <w:jc w:val="center"/>
        </w:pPr>
        <w:r>
          <w:fldChar w:fldCharType="begin"/>
        </w:r>
        <w:r>
          <w:instrText xml:space="preserve"> PAGE   \* MERGEFORMAT </w:instrText>
        </w:r>
        <w:r>
          <w:fldChar w:fldCharType="separate"/>
        </w:r>
        <w:r w:rsidR="00463908">
          <w:rPr>
            <w:noProof/>
          </w:rPr>
          <w:t>1</w:t>
        </w:r>
        <w:r>
          <w:rPr>
            <w:noProof/>
          </w:rPr>
          <w:fldChar w:fldCharType="end"/>
        </w:r>
      </w:p>
    </w:sdtContent>
  </w:sdt>
  <w:p w14:paraId="021893DA" w14:textId="77777777" w:rsidR="001B36C3" w:rsidRDefault="00FD7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4FD3D" w14:textId="77777777" w:rsidR="00FD7C75" w:rsidRDefault="00FD7C75" w:rsidP="00655643">
      <w:pPr>
        <w:spacing w:after="0" w:line="240" w:lineRule="auto"/>
      </w:pPr>
      <w:r>
        <w:separator/>
      </w:r>
    </w:p>
  </w:footnote>
  <w:footnote w:type="continuationSeparator" w:id="0">
    <w:p w14:paraId="3779FF1D" w14:textId="77777777" w:rsidR="00FD7C75" w:rsidRDefault="00FD7C75" w:rsidP="006556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43"/>
    <w:rsid w:val="00463908"/>
    <w:rsid w:val="00655643"/>
    <w:rsid w:val="009D1AAE"/>
    <w:rsid w:val="00AC639D"/>
    <w:rsid w:val="00ED4DBF"/>
    <w:rsid w:val="00FD7C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DDC5"/>
  <w15:chartTrackingRefBased/>
  <w15:docId w15:val="{AC6DFC9E-6786-413A-8B8E-B35D8994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55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643"/>
  </w:style>
  <w:style w:type="paragraph" w:styleId="EndnoteText">
    <w:name w:val="endnote text"/>
    <w:basedOn w:val="Normal"/>
    <w:link w:val="EndnoteTextChar"/>
    <w:uiPriority w:val="99"/>
    <w:unhideWhenUsed/>
    <w:rsid w:val="00655643"/>
    <w:pPr>
      <w:spacing w:after="0" w:line="240" w:lineRule="auto"/>
    </w:pPr>
    <w:rPr>
      <w:sz w:val="20"/>
      <w:szCs w:val="20"/>
    </w:rPr>
  </w:style>
  <w:style w:type="character" w:customStyle="1" w:styleId="EndnoteTextChar">
    <w:name w:val="Endnote Text Char"/>
    <w:basedOn w:val="DefaultParagraphFont"/>
    <w:link w:val="EndnoteText"/>
    <w:uiPriority w:val="99"/>
    <w:rsid w:val="00655643"/>
    <w:rPr>
      <w:sz w:val="20"/>
      <w:szCs w:val="20"/>
    </w:rPr>
  </w:style>
  <w:style w:type="character" w:styleId="EndnoteReference">
    <w:name w:val="endnote reference"/>
    <w:basedOn w:val="DefaultParagraphFont"/>
    <w:uiPriority w:val="99"/>
    <w:semiHidden/>
    <w:unhideWhenUsed/>
    <w:rsid w:val="00655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786B9-23FF-4C07-B655-DBCC1ED5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Walsh</dc:creator>
  <cp:keywords/>
  <dc:description/>
  <cp:lastModifiedBy>JENKINS, Ashleigh (NHS HEALTH SCOTLAND)</cp:lastModifiedBy>
  <cp:revision>2</cp:revision>
  <dcterms:created xsi:type="dcterms:W3CDTF">2021-05-06T08:50:00Z</dcterms:created>
  <dcterms:modified xsi:type="dcterms:W3CDTF">2021-05-06T08:50:00Z</dcterms:modified>
</cp:coreProperties>
</file>