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1F" w:rsidRPr="00911E1F" w:rsidRDefault="00911E1F" w:rsidP="00911E1F">
      <w:pPr>
        <w:rPr>
          <w:b/>
        </w:rPr>
      </w:pPr>
      <w:r w:rsidRPr="00911E1F">
        <w:rPr>
          <w:b/>
        </w:rPr>
        <w:t xml:space="preserve">Project: </w:t>
      </w:r>
      <w:r w:rsidR="007770ED">
        <w:rPr>
          <w:b/>
        </w:rPr>
        <w:t>SSP</w:t>
      </w:r>
      <w:r w:rsidR="00C73DD5">
        <w:rPr>
          <w:b/>
        </w:rPr>
        <w:t>-PH</w:t>
      </w:r>
      <w:r w:rsidRPr="00911E1F">
        <w:rPr>
          <w:b/>
        </w:rPr>
        <w:t xml:space="preserve"> </w:t>
      </w:r>
    </w:p>
    <w:p w:rsidR="00911E1F" w:rsidRPr="00911E1F" w:rsidRDefault="00911E1F" w:rsidP="00911E1F">
      <w:pPr>
        <w:rPr>
          <w:b/>
        </w:rPr>
      </w:pPr>
      <w:r w:rsidRPr="00911E1F">
        <w:rPr>
          <w:b/>
        </w:rPr>
        <w:t xml:space="preserve">Project Owner: </w:t>
      </w:r>
    </w:p>
    <w:p w:rsidR="00911E1F" w:rsidRPr="00911E1F" w:rsidRDefault="00911E1F" w:rsidP="00911E1F">
      <w:pPr>
        <w:rPr>
          <w:b/>
        </w:rPr>
      </w:pPr>
    </w:p>
    <w:p w:rsidR="00911E1F" w:rsidRPr="00911E1F" w:rsidRDefault="00911E1F" w:rsidP="00911E1F">
      <w:pPr>
        <w:rPr>
          <w:b/>
        </w:rPr>
      </w:pPr>
    </w:p>
    <w:p w:rsidR="00911E1F" w:rsidRPr="00911E1F" w:rsidRDefault="00911E1F" w:rsidP="00911E1F">
      <w:pPr>
        <w:rPr>
          <w:b/>
        </w:rPr>
      </w:pPr>
      <w:r w:rsidRPr="00911E1F">
        <w:rPr>
          <w:b/>
        </w:rPr>
        <w:t xml:space="preserve">Product and owner: </w:t>
      </w:r>
      <w:r>
        <w:rPr>
          <w:b/>
        </w:rPr>
        <w:t>Communication and engagement strategy; Ann Conacher</w:t>
      </w:r>
    </w:p>
    <w:p w:rsidR="00911E1F" w:rsidRPr="00911E1F" w:rsidRDefault="00911E1F" w:rsidP="00911E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258"/>
        <w:gridCol w:w="2935"/>
        <w:gridCol w:w="2101"/>
      </w:tblGrid>
      <w:tr w:rsidR="00911E1F" w:rsidRPr="00911E1F" w:rsidTr="009C35D3">
        <w:tc>
          <w:tcPr>
            <w:tcW w:w="2310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r w:rsidRPr="00911E1F">
              <w:rPr>
                <w:b/>
              </w:rPr>
              <w:t>Version</w:t>
            </w:r>
          </w:p>
        </w:tc>
        <w:tc>
          <w:tcPr>
            <w:tcW w:w="1200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proofErr w:type="spellStart"/>
            <w:r w:rsidRPr="00911E1F">
              <w:rPr>
                <w:b/>
              </w:rPr>
              <w:t>Date</w:t>
            </w:r>
            <w:r w:rsidR="00981C9E">
              <w:rPr>
                <w:b/>
              </w:rPr>
              <w:t>&amp;Time</w:t>
            </w:r>
            <w:proofErr w:type="spellEnd"/>
          </w:p>
        </w:tc>
        <w:tc>
          <w:tcPr>
            <w:tcW w:w="3421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r w:rsidRPr="00911E1F">
              <w:rPr>
                <w:b/>
              </w:rPr>
              <w:t>Author</w:t>
            </w:r>
          </w:p>
        </w:tc>
        <w:tc>
          <w:tcPr>
            <w:tcW w:w="2311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r w:rsidRPr="00911E1F">
              <w:rPr>
                <w:b/>
              </w:rPr>
              <w:t>Change Description</w:t>
            </w:r>
          </w:p>
        </w:tc>
      </w:tr>
      <w:tr w:rsidR="00911E1F" w:rsidRPr="00911E1F" w:rsidTr="009C35D3">
        <w:tc>
          <w:tcPr>
            <w:tcW w:w="2310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r w:rsidRPr="00911E1F">
              <w:rPr>
                <w:b/>
              </w:rPr>
              <w:t>1.0</w:t>
            </w:r>
          </w:p>
        </w:tc>
        <w:tc>
          <w:tcPr>
            <w:tcW w:w="1200" w:type="dxa"/>
          </w:tcPr>
          <w:p w:rsidR="00911E1F" w:rsidRPr="00911E1F" w:rsidRDefault="00C73DD5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05/05/16</w:t>
            </w:r>
          </w:p>
        </w:tc>
        <w:tc>
          <w:tcPr>
            <w:tcW w:w="3421" w:type="dxa"/>
          </w:tcPr>
          <w:p w:rsidR="00911E1F" w:rsidRPr="00911E1F" w:rsidRDefault="00911E1F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Ann Conacher</w:t>
            </w:r>
          </w:p>
        </w:tc>
        <w:tc>
          <w:tcPr>
            <w:tcW w:w="2311" w:type="dxa"/>
          </w:tcPr>
          <w:p w:rsidR="00911E1F" w:rsidRDefault="00911E1F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Drafting</w:t>
            </w:r>
          </w:p>
          <w:p w:rsidR="006545FE" w:rsidRPr="00911E1F" w:rsidRDefault="006545FE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For discussion with project group (16/5/16)</w:t>
            </w:r>
          </w:p>
        </w:tc>
      </w:tr>
      <w:tr w:rsidR="00911E1F" w:rsidRPr="00911E1F" w:rsidTr="009C35D3">
        <w:tc>
          <w:tcPr>
            <w:tcW w:w="2310" w:type="dxa"/>
          </w:tcPr>
          <w:p w:rsidR="00911E1F" w:rsidRPr="00911E1F" w:rsidRDefault="00437D2B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00" w:type="dxa"/>
          </w:tcPr>
          <w:p w:rsidR="00911E1F" w:rsidRPr="00911E1F" w:rsidRDefault="00437D2B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25/05/16</w:t>
            </w:r>
          </w:p>
        </w:tc>
        <w:tc>
          <w:tcPr>
            <w:tcW w:w="3421" w:type="dxa"/>
          </w:tcPr>
          <w:p w:rsidR="00911E1F" w:rsidRPr="00911E1F" w:rsidRDefault="00437D2B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Ann Conacher</w:t>
            </w:r>
          </w:p>
        </w:tc>
        <w:tc>
          <w:tcPr>
            <w:tcW w:w="2311" w:type="dxa"/>
          </w:tcPr>
          <w:p w:rsidR="00911E1F" w:rsidRPr="00911E1F" w:rsidRDefault="00437D2B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Revised in light of discussion with Advisory Group (25/5/16)</w:t>
            </w:r>
          </w:p>
        </w:tc>
      </w:tr>
      <w:tr w:rsidR="00911E1F" w:rsidRPr="00911E1F" w:rsidTr="009C35D3">
        <w:tc>
          <w:tcPr>
            <w:tcW w:w="2310" w:type="dxa"/>
          </w:tcPr>
          <w:p w:rsidR="00911E1F" w:rsidRPr="00911E1F" w:rsidRDefault="00D37722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200" w:type="dxa"/>
          </w:tcPr>
          <w:p w:rsidR="00911E1F" w:rsidRPr="00911E1F" w:rsidRDefault="00D37722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31/05/16</w:t>
            </w:r>
          </w:p>
        </w:tc>
        <w:tc>
          <w:tcPr>
            <w:tcW w:w="3421" w:type="dxa"/>
          </w:tcPr>
          <w:p w:rsidR="00911E1F" w:rsidRPr="00911E1F" w:rsidRDefault="00D37722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Ann Conacher</w:t>
            </w:r>
          </w:p>
        </w:tc>
        <w:tc>
          <w:tcPr>
            <w:tcW w:w="2311" w:type="dxa"/>
          </w:tcPr>
          <w:p w:rsidR="00A20297" w:rsidRPr="00911E1F" w:rsidRDefault="00D37722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Discussion PM, GMc</w:t>
            </w:r>
            <w:r w:rsidR="00177334">
              <w:rPr>
                <w:b/>
              </w:rPr>
              <w:t>C</w:t>
            </w:r>
            <w:r>
              <w:rPr>
                <w:b/>
              </w:rPr>
              <w:t xml:space="preserve"> &amp; AC re engagement process.</w:t>
            </w:r>
          </w:p>
        </w:tc>
      </w:tr>
      <w:tr w:rsidR="00911E1F" w:rsidRPr="00911E1F" w:rsidTr="009C35D3">
        <w:tc>
          <w:tcPr>
            <w:tcW w:w="2310" w:type="dxa"/>
          </w:tcPr>
          <w:p w:rsidR="00911E1F" w:rsidRPr="00911E1F" w:rsidRDefault="00DB2C39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200" w:type="dxa"/>
          </w:tcPr>
          <w:p w:rsidR="00911E1F" w:rsidRPr="00911E1F" w:rsidRDefault="00DB2C39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06/06/16</w:t>
            </w:r>
          </w:p>
        </w:tc>
        <w:tc>
          <w:tcPr>
            <w:tcW w:w="3421" w:type="dxa"/>
          </w:tcPr>
          <w:p w:rsidR="00911E1F" w:rsidRPr="00911E1F" w:rsidRDefault="00DB2C39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Gillian McCartney</w:t>
            </w:r>
          </w:p>
        </w:tc>
        <w:tc>
          <w:tcPr>
            <w:tcW w:w="2311" w:type="dxa"/>
          </w:tcPr>
          <w:p w:rsidR="00911E1F" w:rsidRPr="00911E1F" w:rsidRDefault="00DB2C39" w:rsidP="00911E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Discussion MA, PM &amp; GMcC re papers for ScotPHN website</w:t>
            </w:r>
          </w:p>
        </w:tc>
      </w:tr>
    </w:tbl>
    <w:p w:rsidR="00911E1F" w:rsidRPr="00911E1F" w:rsidRDefault="00911E1F" w:rsidP="00911E1F">
      <w:pPr>
        <w:rPr>
          <w:b/>
        </w:rPr>
      </w:pPr>
    </w:p>
    <w:p w:rsidR="00911E1F" w:rsidRDefault="00911E1F">
      <w:pPr>
        <w:rPr>
          <w:b/>
        </w:rPr>
      </w:pPr>
      <w:r>
        <w:rPr>
          <w:b/>
        </w:rPr>
        <w:br w:type="page"/>
      </w:r>
    </w:p>
    <w:p w:rsidR="00911E1F" w:rsidRPr="00911E1F" w:rsidRDefault="00911E1F" w:rsidP="00911E1F">
      <w:pPr>
        <w:rPr>
          <w:b/>
        </w:rPr>
      </w:pPr>
      <w:r w:rsidRPr="00911E1F">
        <w:rPr>
          <w:b/>
        </w:rPr>
        <w:lastRenderedPageBreak/>
        <w:t>Communication and engagement strategy</w:t>
      </w:r>
    </w:p>
    <w:p w:rsidR="00231057" w:rsidRDefault="00E82A50" w:rsidP="00911E1F">
      <w:pPr>
        <w:rPr>
          <w:b/>
        </w:rPr>
      </w:pPr>
      <w:r>
        <w:rPr>
          <w:b/>
        </w:rPr>
        <w:t>Introduction</w:t>
      </w:r>
    </w:p>
    <w:p w:rsidR="00664EAA" w:rsidRPr="00664EAA" w:rsidRDefault="00A74452" w:rsidP="00911E1F">
      <w:r>
        <w:t>NSS SSP</w:t>
      </w:r>
      <w:r w:rsidR="00664EAA" w:rsidRPr="00664EAA">
        <w:t>-PH</w:t>
      </w:r>
      <w:r w:rsidR="00CA526B">
        <w:t xml:space="preserve"> </w:t>
      </w:r>
      <w:r w:rsidR="008068E7">
        <w:t>will focus on the public health function in Scotland.</w:t>
      </w:r>
    </w:p>
    <w:p w:rsidR="009A7EEE" w:rsidRPr="00E82A50" w:rsidRDefault="00E82A50" w:rsidP="00911E1F">
      <w:pPr>
        <w:rPr>
          <w:b/>
        </w:rPr>
      </w:pPr>
      <w:r>
        <w:rPr>
          <w:b/>
        </w:rPr>
        <w:t xml:space="preserve">Communication and Engagement </w:t>
      </w:r>
      <w:r w:rsidRPr="00E82A50">
        <w:rPr>
          <w:b/>
        </w:rPr>
        <w:t>Strategy</w:t>
      </w:r>
    </w:p>
    <w:p w:rsidR="00457FAC" w:rsidRDefault="00981C9E" w:rsidP="00911E1F">
      <w:r>
        <w:t>T</w:t>
      </w:r>
      <w:r w:rsidR="00E82A50">
        <w:t>his strategy outline</w:t>
      </w:r>
      <w:r>
        <w:t>s</w:t>
      </w:r>
      <w:r w:rsidR="00664EAA">
        <w:t xml:space="preserve"> who needs to be informed and/or </w:t>
      </w:r>
      <w:r w:rsidR="00E82A50">
        <w:t xml:space="preserve">engaged </w:t>
      </w:r>
      <w:r w:rsidR="00457FAC">
        <w:t>on what and by when:</w:t>
      </w:r>
    </w:p>
    <w:p w:rsidR="00457FAC" w:rsidRDefault="00457FAC" w:rsidP="00457FAC">
      <w:pPr>
        <w:pStyle w:val="ListParagraph"/>
        <w:numPr>
          <w:ilvl w:val="0"/>
          <w:numId w:val="13"/>
        </w:numPr>
      </w:pPr>
      <w:r>
        <w:t xml:space="preserve">Inform – receive information </w:t>
      </w:r>
      <w:r w:rsidR="00822089">
        <w:t>about project</w:t>
      </w:r>
      <w:r>
        <w:t xml:space="preserve"> in development</w:t>
      </w:r>
      <w:r w:rsidR="00A20297" w:rsidRPr="00A20297">
        <w:t xml:space="preserve"> </w:t>
      </w:r>
      <w:r w:rsidR="00A20297">
        <w:t xml:space="preserve">and cascade to respective </w:t>
      </w:r>
      <w:r w:rsidR="008645EA">
        <w:t xml:space="preserve">stakeholder </w:t>
      </w:r>
      <w:r w:rsidR="00A20297">
        <w:t>constituencies</w:t>
      </w:r>
      <w:r w:rsidR="0039325C">
        <w:t>.</w:t>
      </w:r>
    </w:p>
    <w:p w:rsidR="008645EA" w:rsidRPr="00911E1F" w:rsidRDefault="00457FAC" w:rsidP="00664EAA">
      <w:pPr>
        <w:pStyle w:val="ListParagraph"/>
        <w:numPr>
          <w:ilvl w:val="0"/>
          <w:numId w:val="13"/>
        </w:numPr>
      </w:pPr>
      <w:r>
        <w:t xml:space="preserve">Engage – have opportunity to discuss </w:t>
      </w:r>
      <w:r w:rsidR="00664EAA">
        <w:t xml:space="preserve">‘function’ </w:t>
      </w:r>
      <w:r w:rsidR="00575282">
        <w:t xml:space="preserve">and ‘options’ </w:t>
      </w:r>
      <w:r>
        <w:t xml:space="preserve">with </w:t>
      </w:r>
      <w:r w:rsidR="00C73DD5">
        <w:t>project group</w:t>
      </w:r>
      <w:r w:rsidR="00CA526B">
        <w:t>, describe potential planning and delivery of function in Scotland through response to questionnaire,</w:t>
      </w:r>
      <w:r w:rsidR="00575282">
        <w:t xml:space="preserve"> suggested draft options</w:t>
      </w:r>
      <w:r w:rsidR="00CA526B">
        <w:t xml:space="preserve"> </w:t>
      </w:r>
      <w:r w:rsidR="00664EAA">
        <w:t>and input views on proposed</w:t>
      </w:r>
      <w:r w:rsidR="00CA526B">
        <w:t xml:space="preserve"> business case</w:t>
      </w:r>
      <w:r w:rsidR="00664EAA">
        <w:t xml:space="preserve"> options</w:t>
      </w:r>
      <w:r w:rsidR="00CA526B">
        <w:t xml:space="preserve"> for NSS/CEs</w:t>
      </w:r>
      <w:r w:rsidR="0039325C">
        <w:t>.</w:t>
      </w:r>
    </w:p>
    <w:p w:rsidR="00911E1F" w:rsidRPr="00911E1F" w:rsidRDefault="00911E1F" w:rsidP="00911E1F">
      <w:r w:rsidRPr="00981C9E">
        <w:rPr>
          <w:u w:val="single"/>
        </w:rPr>
        <w:t>Purpose of strategy</w:t>
      </w:r>
      <w:r w:rsidRPr="00911E1F">
        <w:t xml:space="preserve">:  </w:t>
      </w:r>
    </w:p>
    <w:p w:rsidR="00911E1F" w:rsidRPr="00911E1F" w:rsidRDefault="00911E1F" w:rsidP="00981C9E">
      <w:pPr>
        <w:pStyle w:val="ListParagraph"/>
        <w:numPr>
          <w:ilvl w:val="0"/>
          <w:numId w:val="6"/>
        </w:numPr>
      </w:pPr>
      <w:r w:rsidRPr="00911E1F">
        <w:t xml:space="preserve">To raise awareness </w:t>
      </w:r>
      <w:r w:rsidR="001F71F2">
        <w:t xml:space="preserve">and understanding </w:t>
      </w:r>
      <w:r w:rsidRPr="00911E1F">
        <w:t>of the project and its aims</w:t>
      </w:r>
      <w:r w:rsidR="001F71F2">
        <w:t xml:space="preserve"> amongst all stakeholders</w:t>
      </w:r>
      <w:r w:rsidRPr="00911E1F">
        <w:t>;</w:t>
      </w:r>
    </w:p>
    <w:p w:rsidR="00911E1F" w:rsidRPr="00911E1F" w:rsidRDefault="00911E1F" w:rsidP="00981C9E">
      <w:pPr>
        <w:pStyle w:val="ListParagraph"/>
        <w:numPr>
          <w:ilvl w:val="0"/>
          <w:numId w:val="6"/>
        </w:numPr>
      </w:pPr>
      <w:r w:rsidRPr="00911E1F">
        <w:t xml:space="preserve">To ensure progress against the various project </w:t>
      </w:r>
      <w:r w:rsidR="0039325C">
        <w:t>phas</w:t>
      </w:r>
      <w:r>
        <w:t>es and development of product is communicated</w:t>
      </w:r>
      <w:r w:rsidR="00981C9E">
        <w:t xml:space="preserve"> timeously</w:t>
      </w:r>
      <w:r>
        <w:t>;</w:t>
      </w:r>
    </w:p>
    <w:p w:rsidR="00911E1F" w:rsidRPr="00911E1F" w:rsidRDefault="00911E1F" w:rsidP="00981C9E">
      <w:pPr>
        <w:pStyle w:val="ListParagraph"/>
        <w:numPr>
          <w:ilvl w:val="0"/>
          <w:numId w:val="6"/>
        </w:numPr>
      </w:pPr>
      <w:r w:rsidRPr="00911E1F">
        <w:t xml:space="preserve">To ensure the on-going commitment of </w:t>
      </w:r>
      <w:r>
        <w:t>all stakeholders to the project and ownership of</w:t>
      </w:r>
      <w:r w:rsidR="001F71F2">
        <w:t xml:space="preserve"> final</w:t>
      </w:r>
      <w:r>
        <w:t xml:space="preserve"> </w:t>
      </w:r>
      <w:r w:rsidR="00457FAC">
        <w:t>output</w:t>
      </w:r>
      <w:r>
        <w:t>;</w:t>
      </w:r>
    </w:p>
    <w:p w:rsidR="00911E1F" w:rsidRDefault="00911E1F" w:rsidP="00981C9E">
      <w:pPr>
        <w:pStyle w:val="ListParagraph"/>
        <w:numPr>
          <w:ilvl w:val="0"/>
          <w:numId w:val="6"/>
        </w:numPr>
      </w:pPr>
      <w:r w:rsidRPr="00911E1F">
        <w:t xml:space="preserve">To ensure </w:t>
      </w:r>
      <w:r w:rsidR="00981C9E">
        <w:t xml:space="preserve">the </w:t>
      </w:r>
      <w:r w:rsidRPr="00911E1F">
        <w:t xml:space="preserve">process is </w:t>
      </w:r>
      <w:r w:rsidR="0082619D">
        <w:t>known</w:t>
      </w:r>
      <w:r w:rsidR="0082619D" w:rsidRPr="00911E1F">
        <w:t xml:space="preserve"> </w:t>
      </w:r>
      <w:r w:rsidR="0082619D">
        <w:t>and</w:t>
      </w:r>
      <w:r w:rsidR="0082619D" w:rsidRPr="00911E1F">
        <w:t xml:space="preserve"> </w:t>
      </w:r>
      <w:r w:rsidRPr="00911E1F">
        <w:t>wholly transparent</w:t>
      </w:r>
      <w:r w:rsidR="00457FAC">
        <w:t>;</w:t>
      </w:r>
    </w:p>
    <w:p w:rsidR="00665A04" w:rsidRPr="00911E1F" w:rsidRDefault="00665A04" w:rsidP="00665A04">
      <w:pPr>
        <w:pStyle w:val="ListParagraph"/>
        <w:numPr>
          <w:ilvl w:val="0"/>
          <w:numId w:val="6"/>
        </w:numPr>
      </w:pPr>
      <w:r>
        <w:t>To ensure all qu</w:t>
      </w:r>
      <w:r w:rsidR="0039325C">
        <w:t>eries regarding the project, its process, and</w:t>
      </w:r>
      <w:r>
        <w:t xml:space="preserve"> proposed </w:t>
      </w:r>
      <w:r w:rsidR="009408DA">
        <w:t>options</w:t>
      </w:r>
      <w:r w:rsidR="0039325C">
        <w:t xml:space="preserve"> </w:t>
      </w:r>
      <w:r w:rsidR="00457FAC">
        <w:t>are captured and responded to; and</w:t>
      </w:r>
    </w:p>
    <w:p w:rsidR="00B42484" w:rsidRDefault="00B42484" w:rsidP="00981C9E">
      <w:pPr>
        <w:pStyle w:val="ListParagraph"/>
        <w:numPr>
          <w:ilvl w:val="0"/>
          <w:numId w:val="6"/>
        </w:numPr>
      </w:pPr>
      <w:r>
        <w:t>To ensure relevant stakeholders are aware of their responsibility in</w:t>
      </w:r>
      <w:r w:rsidR="00457FAC">
        <w:t xml:space="preserve"> informing their constituencies through </w:t>
      </w:r>
      <w:proofErr w:type="spellStart"/>
      <w:r w:rsidR="00457FAC">
        <w:t>eg</w:t>
      </w:r>
      <w:proofErr w:type="spellEnd"/>
      <w:r w:rsidR="00457FAC">
        <w:t xml:space="preserve"> disseminating papers etc.</w:t>
      </w:r>
    </w:p>
    <w:p w:rsidR="00A1121A" w:rsidRPr="00A1121A" w:rsidRDefault="00A1121A" w:rsidP="00A1121A">
      <w:pPr>
        <w:rPr>
          <w:u w:val="single"/>
        </w:rPr>
      </w:pPr>
      <w:r w:rsidRPr="00A1121A">
        <w:rPr>
          <w:u w:val="single"/>
        </w:rPr>
        <w:t>Key outcomes:</w:t>
      </w:r>
    </w:p>
    <w:p w:rsidR="00665A04" w:rsidRDefault="00665A04" w:rsidP="00665A04">
      <w:pPr>
        <w:pStyle w:val="ListParagraph"/>
        <w:numPr>
          <w:ilvl w:val="0"/>
          <w:numId w:val="11"/>
        </w:numPr>
      </w:pPr>
      <w:r>
        <w:t>All</w:t>
      </w:r>
      <w:r w:rsidRPr="00A1121A">
        <w:t xml:space="preserve"> stakeholders </w:t>
      </w:r>
      <w:r>
        <w:t>are</w:t>
      </w:r>
      <w:r w:rsidRPr="00A1121A">
        <w:t xml:space="preserve"> fully </w:t>
      </w:r>
      <w:r w:rsidR="009408DA">
        <w:t>informed and</w:t>
      </w:r>
      <w:r>
        <w:t xml:space="preserve"> </w:t>
      </w:r>
      <w:r w:rsidR="009408DA">
        <w:t xml:space="preserve">engaged </w:t>
      </w:r>
      <w:r w:rsidRPr="00A1121A">
        <w:t>in process</w:t>
      </w:r>
      <w:r w:rsidR="0039325C">
        <w:t xml:space="preserve"> as far as practicable.</w:t>
      </w:r>
    </w:p>
    <w:p w:rsidR="00665A04" w:rsidRDefault="00665A04" w:rsidP="00665A04">
      <w:pPr>
        <w:pStyle w:val="ListParagraph"/>
        <w:numPr>
          <w:ilvl w:val="0"/>
          <w:numId w:val="11"/>
        </w:numPr>
      </w:pPr>
      <w:r>
        <w:t xml:space="preserve">All queries are captured and stored centrally by project </w:t>
      </w:r>
      <w:r w:rsidR="009408DA">
        <w:t>office</w:t>
      </w:r>
      <w:r w:rsidR="00EE3EF9">
        <w:t xml:space="preserve"> and responded to by project group</w:t>
      </w:r>
      <w:r>
        <w:t>.</w:t>
      </w:r>
    </w:p>
    <w:p w:rsidR="00A1121A" w:rsidRPr="00A1121A" w:rsidRDefault="00A1121A" w:rsidP="00A1121A">
      <w:pPr>
        <w:pStyle w:val="ListParagraph"/>
        <w:numPr>
          <w:ilvl w:val="0"/>
          <w:numId w:val="11"/>
        </w:numPr>
      </w:pPr>
      <w:r>
        <w:t>All s</w:t>
      </w:r>
      <w:r w:rsidRPr="00A1121A">
        <w:t>takeholders</w:t>
      </w:r>
      <w:r>
        <w:t xml:space="preserve"> have</w:t>
      </w:r>
      <w:r w:rsidRPr="00A1121A">
        <w:t xml:space="preserve"> the opportunity to </w:t>
      </w:r>
      <w:r w:rsidR="00EE3EF9">
        <w:t xml:space="preserve">respond to questions and </w:t>
      </w:r>
      <w:r w:rsidRPr="00A1121A">
        <w:t xml:space="preserve">comment on proposed </w:t>
      </w:r>
      <w:r w:rsidR="00EE3EF9">
        <w:t>option</w:t>
      </w:r>
      <w:r>
        <w:t>s.</w:t>
      </w:r>
    </w:p>
    <w:p w:rsidR="00A1121A" w:rsidRPr="00A1121A" w:rsidRDefault="00A1121A" w:rsidP="00A1121A">
      <w:pPr>
        <w:pStyle w:val="ListParagraph"/>
        <w:numPr>
          <w:ilvl w:val="0"/>
          <w:numId w:val="11"/>
        </w:numPr>
      </w:pPr>
      <w:r>
        <w:t xml:space="preserve">Understanding </w:t>
      </w:r>
      <w:r w:rsidR="0039325C">
        <w:t>implications of</w:t>
      </w:r>
      <w:r w:rsidRPr="00A1121A">
        <w:t xml:space="preserve"> </w:t>
      </w:r>
      <w:r>
        <w:t xml:space="preserve">the </w:t>
      </w:r>
      <w:r w:rsidR="00EE3EF9">
        <w:t>proposed o</w:t>
      </w:r>
      <w:r w:rsidR="009408DA">
        <w:t>p</w:t>
      </w:r>
      <w:r w:rsidR="00EE3EF9">
        <w:t>tion</w:t>
      </w:r>
      <w:r>
        <w:t>s.</w:t>
      </w:r>
    </w:p>
    <w:p w:rsidR="00911E1F" w:rsidRPr="00911E1F" w:rsidRDefault="000562ED" w:rsidP="00911E1F">
      <w:r w:rsidRPr="00981C9E">
        <w:rPr>
          <w:u w:val="single"/>
        </w:rPr>
        <w:t>Stakeholders</w:t>
      </w:r>
      <w:r w:rsidR="00911E1F" w:rsidRPr="00911E1F">
        <w:t>:</w:t>
      </w:r>
    </w:p>
    <w:p w:rsidR="00911E1F" w:rsidRDefault="00EE3EF9" w:rsidP="00981C9E">
      <w:pPr>
        <w:pStyle w:val="ListParagraph"/>
        <w:numPr>
          <w:ilvl w:val="0"/>
          <w:numId w:val="7"/>
        </w:numPr>
      </w:pPr>
      <w:r>
        <w:t>Project group</w:t>
      </w:r>
    </w:p>
    <w:p w:rsidR="00EE3EF9" w:rsidRDefault="00825E1B" w:rsidP="007C6D30">
      <w:pPr>
        <w:pStyle w:val="ListParagraph"/>
        <w:numPr>
          <w:ilvl w:val="0"/>
          <w:numId w:val="7"/>
        </w:numPr>
      </w:pPr>
      <w:r>
        <w:t>Professional Advisory Group</w:t>
      </w:r>
    </w:p>
    <w:p w:rsidR="00DA5B78" w:rsidRPr="00DA5B78" w:rsidRDefault="00EE3EF9" w:rsidP="009D17F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t xml:space="preserve">NSS </w:t>
      </w:r>
      <w:r w:rsidR="0039325C">
        <w:t xml:space="preserve">SS </w:t>
      </w:r>
      <w:r>
        <w:t xml:space="preserve">Health Portfolio Board and </w:t>
      </w:r>
      <w:r w:rsidR="0039325C">
        <w:t>SS</w:t>
      </w:r>
      <w:r w:rsidR="008068E7">
        <w:t xml:space="preserve"> </w:t>
      </w:r>
      <w:r>
        <w:t>Portfolio Board and Chief Executives</w:t>
      </w:r>
    </w:p>
    <w:p w:rsidR="00DA5B78" w:rsidRPr="00DA5B78" w:rsidRDefault="00DA5B78" w:rsidP="009D17F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Scottish Government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 xml:space="preserve">Chief Executives 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NHS Boards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NSS &amp; other relevant Special Health Boards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lastRenderedPageBreak/>
        <w:t>NHS Health Scotland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Healthcare Improvement Scotland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NHS Education Scotland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Faculty of Public Health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Scottish Directors of Public Health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Scottish Health Promotion Managers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Consultants in Public Health, Dental Public Health and Pharmaceutical Public Health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Specialist Trainees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All core public health staff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Glasgow Centre for Population Health (GCPH)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NoSPHN, ScotPHN and other public health networks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 xml:space="preserve">Academics in public health 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Nurse Directors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Medical Directors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Directors of Planning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Local Authorities, CoSLA, SOLACE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Community Planning Partnerships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Health and Social Care Integrated Joint Boards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REHIS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Environmental health staff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SEPA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Scottish Water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Veterinary service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Regional resilience partnerships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Voluntary Health Scotland, Scottish Community Development Centre</w:t>
      </w:r>
    </w:p>
    <w:p w:rsidR="00DA5B78" w:rsidRPr="00DA5B78" w:rsidRDefault="00DA5B78" w:rsidP="00DA5B7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5B78">
        <w:rPr>
          <w:rFonts w:cstheme="minorHAnsi"/>
        </w:rPr>
        <w:t>UK agencies (where appropriate in relation to Scottish public health functions)</w:t>
      </w:r>
    </w:p>
    <w:p w:rsidR="00DA5B78" w:rsidRDefault="00DA5B78" w:rsidP="00911E1F">
      <w:pPr>
        <w:rPr>
          <w:u w:val="single"/>
        </w:rPr>
      </w:pPr>
    </w:p>
    <w:p w:rsidR="00911E1F" w:rsidRPr="00911E1F" w:rsidRDefault="00911E1F" w:rsidP="00911E1F">
      <w:r w:rsidRPr="005272F0">
        <w:rPr>
          <w:u w:val="single"/>
        </w:rPr>
        <w:t xml:space="preserve">Key </w:t>
      </w:r>
      <w:r w:rsidR="00A1121A" w:rsidRPr="005272F0">
        <w:rPr>
          <w:u w:val="single"/>
        </w:rPr>
        <w:t>actions</w:t>
      </w:r>
    </w:p>
    <w:p w:rsidR="00B42484" w:rsidRDefault="00B42484" w:rsidP="00B42484">
      <w:r>
        <w:t>Inform:</w:t>
      </w:r>
    </w:p>
    <w:p w:rsidR="005272F0" w:rsidRDefault="009408DA" w:rsidP="00B42484">
      <w:pPr>
        <w:pStyle w:val="ListParagraph"/>
        <w:numPr>
          <w:ilvl w:val="0"/>
          <w:numId w:val="12"/>
        </w:numPr>
      </w:pPr>
      <w:r>
        <w:t>The project group</w:t>
      </w:r>
      <w:r w:rsidR="005272F0">
        <w:t xml:space="preserve"> will report by exception on progress to the</w:t>
      </w:r>
      <w:r>
        <w:t xml:space="preserve"> NSS project structure</w:t>
      </w:r>
      <w:r w:rsidR="005272F0">
        <w:t>.</w:t>
      </w:r>
      <w:r w:rsidR="009441B0">
        <w:t xml:space="preserve">  </w:t>
      </w:r>
    </w:p>
    <w:p w:rsidR="00EC595C" w:rsidRDefault="00EC595C" w:rsidP="00B42484">
      <w:pPr>
        <w:pStyle w:val="ListParagraph"/>
        <w:numPr>
          <w:ilvl w:val="0"/>
          <w:numId w:val="12"/>
        </w:numPr>
      </w:pPr>
      <w:r>
        <w:t xml:space="preserve">The project group will seek input from its Advisory Board as required; the two groups will meet </w:t>
      </w:r>
      <w:r w:rsidR="0075240F">
        <w:t>on a monthly basis</w:t>
      </w:r>
      <w:r>
        <w:t xml:space="preserve"> during project.</w:t>
      </w:r>
    </w:p>
    <w:p w:rsidR="00911E1F" w:rsidRDefault="009441B0" w:rsidP="00B42484">
      <w:pPr>
        <w:pStyle w:val="ListParagraph"/>
        <w:numPr>
          <w:ilvl w:val="0"/>
          <w:numId w:val="12"/>
        </w:numPr>
      </w:pPr>
      <w:r>
        <w:t>All stakeholders will be informed of the project and progress.</w:t>
      </w:r>
      <w:r w:rsidR="00D37722">
        <w:t xml:space="preserve">  Stakeholders </w:t>
      </w:r>
      <w:proofErr w:type="spellStart"/>
      <w:r w:rsidR="00D37722">
        <w:t>outwith</w:t>
      </w:r>
      <w:proofErr w:type="spellEnd"/>
      <w:r w:rsidR="00D37722">
        <w:t xml:space="preserve"> NHS will be informed of option generation and will be able to comment on draft Business Case options and their implications for their organisations in Phase 2.</w:t>
      </w:r>
    </w:p>
    <w:p w:rsidR="005272F0" w:rsidRDefault="005272F0" w:rsidP="00B42484">
      <w:r>
        <w:t>Engage:</w:t>
      </w:r>
    </w:p>
    <w:p w:rsidR="002D5FDA" w:rsidRDefault="002D5FDA" w:rsidP="00B42484">
      <w:r>
        <w:t>Phase 1</w:t>
      </w:r>
    </w:p>
    <w:p w:rsidR="008A7984" w:rsidRDefault="008A7984" w:rsidP="008A7984">
      <w:pPr>
        <w:pStyle w:val="ListParagraph"/>
        <w:numPr>
          <w:ilvl w:val="0"/>
          <w:numId w:val="15"/>
        </w:numPr>
      </w:pPr>
      <w:r>
        <w:t>SDsPH will map current local services.</w:t>
      </w:r>
      <w:r w:rsidR="006545FE">
        <w:t xml:space="preserve">  ScotPHN will analyse responses on function from Public Health Review.</w:t>
      </w:r>
    </w:p>
    <w:p w:rsidR="002D5FDA" w:rsidRDefault="002D5FDA" w:rsidP="002D5FDA">
      <w:pPr>
        <w:pStyle w:val="ListParagraph"/>
        <w:numPr>
          <w:ilvl w:val="0"/>
          <w:numId w:val="15"/>
        </w:numPr>
      </w:pPr>
      <w:r>
        <w:t xml:space="preserve">All </w:t>
      </w:r>
      <w:r w:rsidR="00D37722">
        <w:t xml:space="preserve">NHS </w:t>
      </w:r>
      <w:r>
        <w:t xml:space="preserve">stakeholders will have the opportunity to </w:t>
      </w:r>
      <w:r w:rsidR="00A8464C">
        <w:t>comment and shape the</w:t>
      </w:r>
      <w:r w:rsidR="00D37722">
        <w:t xml:space="preserve"> </w:t>
      </w:r>
      <w:r w:rsidR="00575282">
        <w:t xml:space="preserve">short term options for public health </w:t>
      </w:r>
      <w:r w:rsidR="00A8464C">
        <w:t>functions/services identified by the PHR. They will also help identify longer term options for the public health function by completing a questionnaire</w:t>
      </w:r>
      <w:r w:rsidR="00DA5B78">
        <w:t>.</w:t>
      </w:r>
      <w:r w:rsidR="009441B0">
        <w:t xml:space="preserve">  This will be available </w:t>
      </w:r>
      <w:r w:rsidR="00CA526B">
        <w:t>from</w:t>
      </w:r>
      <w:r w:rsidR="00575282">
        <w:t xml:space="preserve"> June</w:t>
      </w:r>
      <w:r w:rsidR="00CA526B">
        <w:t xml:space="preserve"> to July 2016.</w:t>
      </w:r>
      <w:r w:rsidR="00575282">
        <w:t xml:space="preserve">  The ScotPHN will </w:t>
      </w:r>
      <w:r w:rsidR="00575282">
        <w:lastRenderedPageBreak/>
        <w:t>provide a means for stakeholders to raise questions about the process via email (</w:t>
      </w:r>
      <w:hyperlink r:id="rId7" w:history="1">
        <w:r w:rsidR="00575282" w:rsidRPr="00D714EB">
          <w:rPr>
            <w:rStyle w:val="Hyperlink"/>
          </w:rPr>
          <w:t>nhs.healthscotland-scotphn@nhs.net</w:t>
        </w:r>
      </w:hyperlink>
      <w:r w:rsidR="00575282">
        <w:t>) and phone.</w:t>
      </w:r>
    </w:p>
    <w:p w:rsidR="002D5FDA" w:rsidRDefault="002D5FDA" w:rsidP="002D5FDA">
      <w:pPr>
        <w:pStyle w:val="ListParagraph"/>
        <w:numPr>
          <w:ilvl w:val="0"/>
          <w:numId w:val="15"/>
        </w:numPr>
      </w:pPr>
      <w:r>
        <w:t>Project leads will engage as far as possible with stakeholder</w:t>
      </w:r>
      <w:r w:rsidR="00CA526B">
        <w:t>s</w:t>
      </w:r>
      <w:r>
        <w:t xml:space="preserve"> through attendance at meetings (</w:t>
      </w:r>
      <w:r w:rsidR="00CA526B">
        <w:t xml:space="preserve">‘their’ </w:t>
      </w:r>
      <w:r>
        <w:t xml:space="preserve">pre-arranged </w:t>
      </w:r>
      <w:r w:rsidR="00CA526B">
        <w:t>meetings) through May to July 2016.</w:t>
      </w:r>
    </w:p>
    <w:p w:rsidR="002D5FDA" w:rsidRDefault="002D5FDA" w:rsidP="002D5FDA">
      <w:r>
        <w:t>Phase 2</w:t>
      </w:r>
    </w:p>
    <w:p w:rsidR="002D5FDA" w:rsidRDefault="00CA526B" w:rsidP="009441B0">
      <w:pPr>
        <w:pStyle w:val="ListParagraph"/>
        <w:numPr>
          <w:ilvl w:val="0"/>
          <w:numId w:val="16"/>
        </w:numPr>
      </w:pPr>
      <w:r>
        <w:t>M</w:t>
      </w:r>
      <w:r w:rsidR="002D5FDA">
        <w:t>eeting</w:t>
      </w:r>
      <w:r>
        <w:t>s</w:t>
      </w:r>
      <w:r w:rsidR="002D5FDA">
        <w:t xml:space="preserve"> specifically to obtain views of IJBs and CPPs will be arranged.</w:t>
      </w:r>
    </w:p>
    <w:p w:rsidR="002D5FDA" w:rsidRDefault="00575282" w:rsidP="009441B0">
      <w:pPr>
        <w:pStyle w:val="ListParagraph"/>
        <w:numPr>
          <w:ilvl w:val="0"/>
          <w:numId w:val="16"/>
        </w:numPr>
      </w:pPr>
      <w:r>
        <w:t>E</w:t>
      </w:r>
      <w:r w:rsidR="002D5FDA">
        <w:t>ngagement event</w:t>
      </w:r>
      <w:r w:rsidR="006545FE">
        <w:t>s</w:t>
      </w:r>
      <w:r w:rsidR="002D5FDA">
        <w:t xml:space="preserve"> to discuss business case options </w:t>
      </w:r>
      <w:r w:rsidR="00E630A8">
        <w:t xml:space="preserve">further to responses received in phase 1 </w:t>
      </w:r>
      <w:r w:rsidR="002D5FDA">
        <w:t xml:space="preserve">will </w:t>
      </w:r>
      <w:r w:rsidR="009441B0">
        <w:t>be undertaken to which all stakeholders will be invited.</w:t>
      </w:r>
      <w:r w:rsidR="00CA526B">
        <w:t xml:space="preserve">  The options paper will be available for those who are unable to attend </w:t>
      </w:r>
      <w:r>
        <w:t xml:space="preserve">either of </w:t>
      </w:r>
      <w:r w:rsidR="00CA526B">
        <w:t>the event</w:t>
      </w:r>
      <w:r>
        <w:t>s</w:t>
      </w:r>
      <w:r w:rsidR="00CA526B">
        <w:t>.</w:t>
      </w:r>
    </w:p>
    <w:p w:rsidR="00911E1F" w:rsidRPr="00911E1F" w:rsidRDefault="005272F0" w:rsidP="00911E1F">
      <w:r>
        <w:t>Dissemination Route</w:t>
      </w:r>
      <w:r w:rsidR="00320D3D">
        <w:t>s</w:t>
      </w:r>
      <w:r>
        <w:t>:</w:t>
      </w:r>
    </w:p>
    <w:p w:rsidR="00911E1F" w:rsidRDefault="00911E1F" w:rsidP="00911E1F">
      <w:pPr>
        <w:numPr>
          <w:ilvl w:val="0"/>
          <w:numId w:val="4"/>
        </w:numPr>
      </w:pPr>
      <w:r w:rsidRPr="00911E1F">
        <w:t xml:space="preserve">Existing cascade routes </w:t>
      </w:r>
      <w:r w:rsidR="00DA5B78" w:rsidRPr="00911E1F">
        <w:t>e.g.</w:t>
      </w:r>
      <w:r w:rsidRPr="00911E1F">
        <w:t xml:space="preserve"> </w:t>
      </w:r>
      <w:r w:rsidR="009441B0">
        <w:t xml:space="preserve">ScotPHN network </w:t>
      </w:r>
      <w:r w:rsidRPr="00911E1F">
        <w:t>con</w:t>
      </w:r>
      <w:r w:rsidR="005272F0">
        <w:t xml:space="preserve">tacts </w:t>
      </w:r>
      <w:r w:rsidRPr="00911E1F">
        <w:t>will be used where possible.</w:t>
      </w:r>
      <w:r w:rsidR="005272F0">
        <w:t xml:space="preserve">  Communications must make explicit that these should be disseminated as appropriate.</w:t>
      </w:r>
    </w:p>
    <w:p w:rsidR="008A7984" w:rsidRDefault="008A7984" w:rsidP="008A7984">
      <w:pPr>
        <w:numPr>
          <w:ilvl w:val="0"/>
          <w:numId w:val="4"/>
        </w:numPr>
      </w:pPr>
      <w:r>
        <w:t xml:space="preserve">Web based documents repository - </w:t>
      </w:r>
      <w:hyperlink r:id="rId8" w:history="1">
        <w:r w:rsidRPr="00D6133B">
          <w:rPr>
            <w:rStyle w:val="Hyperlink"/>
          </w:rPr>
          <w:t>http://www.scotphn.net/projects/public-health-review/information-on-phr/</w:t>
        </w:r>
      </w:hyperlink>
    </w:p>
    <w:p w:rsidR="00EE3EF9" w:rsidRDefault="00EE3EF9" w:rsidP="00C62485">
      <w:r>
        <w:t>Timescale</w:t>
      </w:r>
      <w:r w:rsidR="00825E1B">
        <w:t>:</w:t>
      </w:r>
    </w:p>
    <w:p w:rsidR="009441B0" w:rsidRDefault="009441B0" w:rsidP="00DF2481">
      <w:pPr>
        <w:pStyle w:val="ListParagraph"/>
        <w:numPr>
          <w:ilvl w:val="0"/>
          <w:numId w:val="4"/>
        </w:numPr>
      </w:pPr>
      <w:r>
        <w:t xml:space="preserve">The project group will report to the Health Portfolio Board in </w:t>
      </w:r>
      <w:r w:rsidR="00DF2481">
        <w:t xml:space="preserve">September 2016.  </w:t>
      </w:r>
    </w:p>
    <w:p w:rsidR="00DF2481" w:rsidRDefault="00DF2481" w:rsidP="00DF2481">
      <w:pPr>
        <w:pStyle w:val="ListParagraph"/>
        <w:numPr>
          <w:ilvl w:val="0"/>
          <w:numId w:val="4"/>
        </w:numPr>
      </w:pPr>
      <w:r>
        <w:t xml:space="preserve">Stakeholders will be able to respond to questions from </w:t>
      </w:r>
      <w:r w:rsidR="00575282">
        <w:t>early June</w:t>
      </w:r>
      <w:r>
        <w:t xml:space="preserve"> to end of July 2016.</w:t>
      </w:r>
    </w:p>
    <w:p w:rsidR="00DF2481" w:rsidRDefault="00DF2481" w:rsidP="00DF2481">
      <w:pPr>
        <w:pStyle w:val="ListParagraph"/>
        <w:numPr>
          <w:ilvl w:val="0"/>
          <w:numId w:val="4"/>
        </w:numPr>
      </w:pPr>
      <w:r>
        <w:t xml:space="preserve">The </w:t>
      </w:r>
      <w:r w:rsidR="00CA526B">
        <w:t xml:space="preserve">business case </w:t>
      </w:r>
      <w:r>
        <w:t>options will be discu</w:t>
      </w:r>
      <w:r w:rsidR="00CA526B">
        <w:t>ssed at an event in August 2016 to allow finalisation of paper by September 2016.</w:t>
      </w:r>
    </w:p>
    <w:p w:rsidR="00EE3EF9" w:rsidRDefault="00EE3EF9" w:rsidP="00C62485">
      <w:r>
        <w:t>Frequency of communication</w:t>
      </w:r>
    </w:p>
    <w:p w:rsidR="00F047BA" w:rsidRDefault="00F047BA" w:rsidP="00DF2481">
      <w:pPr>
        <w:pStyle w:val="ListParagraph"/>
        <w:numPr>
          <w:ilvl w:val="0"/>
          <w:numId w:val="17"/>
        </w:numPr>
      </w:pPr>
      <w:r>
        <w:t xml:space="preserve">Project communication between project group and its </w:t>
      </w:r>
      <w:r w:rsidR="00825E1B">
        <w:t xml:space="preserve">Professional </w:t>
      </w:r>
      <w:r>
        <w:t>Advisory</w:t>
      </w:r>
      <w:r w:rsidR="00825E1B">
        <w:t xml:space="preserve"> Group</w:t>
      </w:r>
      <w:r>
        <w:t>, and with SSP Health Portfolio will be as necessary via a mixture of face to face and email discussions.  SSP will appoint a programme manager as point of liaison and who will be updated regularly.</w:t>
      </w:r>
    </w:p>
    <w:p w:rsidR="00DF2481" w:rsidRPr="00911E1F" w:rsidRDefault="00DF2481" w:rsidP="00DF2481">
      <w:pPr>
        <w:pStyle w:val="ListParagraph"/>
        <w:numPr>
          <w:ilvl w:val="0"/>
          <w:numId w:val="17"/>
        </w:numPr>
        <w:sectPr w:rsidR="00DF2481" w:rsidRPr="00911E1F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 xml:space="preserve">A general communication to all stakeholders will take place in </w:t>
      </w:r>
      <w:r w:rsidR="0075240F">
        <w:t xml:space="preserve">June </w:t>
      </w:r>
      <w:r>
        <w:t>2016.  Thereafter an update in July and August 2016 will take place.</w:t>
      </w:r>
    </w:p>
    <w:p w:rsidR="00670200" w:rsidRPr="00E6533B" w:rsidRDefault="00911E1F">
      <w:pPr>
        <w:rPr>
          <w:b/>
        </w:rPr>
      </w:pPr>
      <w:r w:rsidRPr="00E6533B">
        <w:rPr>
          <w:b/>
        </w:rPr>
        <w:t>Plan</w:t>
      </w:r>
    </w:p>
    <w:p w:rsidR="00A4444B" w:rsidRPr="00E6533B" w:rsidRDefault="009408DA">
      <w:pPr>
        <w:rPr>
          <w:b/>
        </w:rPr>
      </w:pPr>
      <w:r>
        <w:rPr>
          <w:b/>
        </w:rPr>
        <w:t>Phase</w:t>
      </w:r>
      <w:r w:rsidR="00A4444B" w:rsidRPr="00E6533B">
        <w:rPr>
          <w:b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670"/>
        <w:gridCol w:w="1796"/>
        <w:gridCol w:w="1822"/>
        <w:gridCol w:w="1822"/>
        <w:gridCol w:w="1902"/>
        <w:gridCol w:w="1842"/>
      </w:tblGrid>
      <w:tr w:rsidR="00A4444B" w:rsidTr="00DF2481">
        <w:tc>
          <w:tcPr>
            <w:tcW w:w="1094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Theme</w:t>
            </w:r>
          </w:p>
        </w:tc>
        <w:tc>
          <w:tcPr>
            <w:tcW w:w="3670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Activity</w:t>
            </w:r>
          </w:p>
        </w:tc>
        <w:tc>
          <w:tcPr>
            <w:tcW w:w="1796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Recipient</w:t>
            </w:r>
          </w:p>
        </w:tc>
        <w:tc>
          <w:tcPr>
            <w:tcW w:w="1822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Date</w:t>
            </w:r>
          </w:p>
        </w:tc>
        <w:tc>
          <w:tcPr>
            <w:tcW w:w="1822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Lead</w:t>
            </w:r>
          </w:p>
        </w:tc>
        <w:tc>
          <w:tcPr>
            <w:tcW w:w="1902" w:type="dxa"/>
          </w:tcPr>
          <w:p w:rsidR="00A4444B" w:rsidRPr="009528D9" w:rsidRDefault="00A4444B">
            <w:pPr>
              <w:rPr>
                <w:b/>
              </w:rPr>
            </w:pPr>
            <w:r w:rsidRPr="009528D9">
              <w:rPr>
                <w:b/>
              </w:rPr>
              <w:t>Comments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4444B" w:rsidRPr="009528D9" w:rsidRDefault="009528D9">
            <w:pPr>
              <w:rPr>
                <w:b/>
              </w:rPr>
            </w:pPr>
            <w:r>
              <w:rPr>
                <w:b/>
              </w:rPr>
              <w:t xml:space="preserve">RAG </w:t>
            </w:r>
            <w:r w:rsidR="00A4444B" w:rsidRPr="009528D9">
              <w:rPr>
                <w:b/>
              </w:rPr>
              <w:t>Status</w:t>
            </w:r>
          </w:p>
        </w:tc>
      </w:tr>
      <w:tr w:rsidR="00A4444B" w:rsidTr="00DF2481">
        <w:tc>
          <w:tcPr>
            <w:tcW w:w="1094" w:type="dxa"/>
          </w:tcPr>
          <w:p w:rsidR="00A4444B" w:rsidRDefault="00E02346">
            <w:r>
              <w:t>Inform</w:t>
            </w:r>
          </w:p>
        </w:tc>
        <w:tc>
          <w:tcPr>
            <w:tcW w:w="3670" w:type="dxa"/>
          </w:tcPr>
          <w:p w:rsidR="00A4444B" w:rsidRDefault="00E02346" w:rsidP="00DF2481">
            <w:r>
              <w:t>Update SSP Health Portfolio Board</w:t>
            </w:r>
          </w:p>
        </w:tc>
        <w:tc>
          <w:tcPr>
            <w:tcW w:w="1796" w:type="dxa"/>
          </w:tcPr>
          <w:p w:rsidR="00A4444B" w:rsidRDefault="00E02346">
            <w:r>
              <w:t>SSP HP Board</w:t>
            </w:r>
          </w:p>
        </w:tc>
        <w:tc>
          <w:tcPr>
            <w:tcW w:w="1822" w:type="dxa"/>
          </w:tcPr>
          <w:p w:rsidR="00A4444B" w:rsidRDefault="00E02346" w:rsidP="00271798">
            <w:r>
              <w:t>Monthly</w:t>
            </w:r>
          </w:p>
        </w:tc>
        <w:tc>
          <w:tcPr>
            <w:tcW w:w="1822" w:type="dxa"/>
          </w:tcPr>
          <w:p w:rsidR="00A4444B" w:rsidRDefault="00E02346">
            <w:r>
              <w:t>MA/PM</w:t>
            </w:r>
          </w:p>
        </w:tc>
        <w:tc>
          <w:tcPr>
            <w:tcW w:w="1902" w:type="dxa"/>
          </w:tcPr>
          <w:p w:rsidR="00A4444B" w:rsidRDefault="00A4444B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4444B" w:rsidRPr="009408DA" w:rsidRDefault="00A4444B"/>
        </w:tc>
      </w:tr>
      <w:tr w:rsidR="00E02346" w:rsidTr="009C3885">
        <w:tc>
          <w:tcPr>
            <w:tcW w:w="1094" w:type="dxa"/>
          </w:tcPr>
          <w:p w:rsidR="00E02346" w:rsidRDefault="00E02346" w:rsidP="00E02346">
            <w:r>
              <w:t>Inform</w:t>
            </w:r>
          </w:p>
        </w:tc>
        <w:tc>
          <w:tcPr>
            <w:tcW w:w="3670" w:type="dxa"/>
          </w:tcPr>
          <w:p w:rsidR="00E02346" w:rsidRDefault="00E02346" w:rsidP="00E02346">
            <w:proofErr w:type="spellStart"/>
            <w:r>
              <w:t>Mtg</w:t>
            </w:r>
            <w:proofErr w:type="spellEnd"/>
            <w:r>
              <w:t xml:space="preserve"> with Advisory </w:t>
            </w:r>
            <w:proofErr w:type="spellStart"/>
            <w:r>
              <w:t>Brd</w:t>
            </w:r>
            <w:proofErr w:type="spellEnd"/>
          </w:p>
        </w:tc>
        <w:tc>
          <w:tcPr>
            <w:tcW w:w="1796" w:type="dxa"/>
          </w:tcPr>
          <w:p w:rsidR="00E02346" w:rsidRDefault="00825E1B" w:rsidP="00E02346">
            <w:r>
              <w:t>PAG</w:t>
            </w:r>
          </w:p>
        </w:tc>
        <w:tc>
          <w:tcPr>
            <w:tcW w:w="1822" w:type="dxa"/>
          </w:tcPr>
          <w:p w:rsidR="00E02346" w:rsidRDefault="00E02346" w:rsidP="00E02346">
            <w:r>
              <w:t>25 May 2016</w:t>
            </w:r>
          </w:p>
        </w:tc>
        <w:tc>
          <w:tcPr>
            <w:tcW w:w="1822" w:type="dxa"/>
          </w:tcPr>
          <w:p w:rsidR="00E02346" w:rsidRDefault="00E02346" w:rsidP="00E02346">
            <w:r>
              <w:t>Project Grp</w:t>
            </w:r>
          </w:p>
        </w:tc>
        <w:tc>
          <w:tcPr>
            <w:tcW w:w="1902" w:type="dxa"/>
          </w:tcPr>
          <w:p w:rsidR="00E02346" w:rsidRDefault="00E02346" w:rsidP="00E02346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B050"/>
          </w:tcPr>
          <w:p w:rsidR="00E02346" w:rsidRPr="009408DA" w:rsidRDefault="00E02346" w:rsidP="00E02346"/>
        </w:tc>
      </w:tr>
      <w:tr w:rsidR="00E02346" w:rsidTr="009C3885">
        <w:tc>
          <w:tcPr>
            <w:tcW w:w="1094" w:type="dxa"/>
          </w:tcPr>
          <w:p w:rsidR="00E02346" w:rsidRDefault="00E02346" w:rsidP="00E02346">
            <w:r>
              <w:t>Inform</w:t>
            </w:r>
          </w:p>
        </w:tc>
        <w:tc>
          <w:tcPr>
            <w:tcW w:w="3670" w:type="dxa"/>
          </w:tcPr>
          <w:p w:rsidR="00E02346" w:rsidRDefault="00E02346" w:rsidP="00E02346">
            <w:r>
              <w:t xml:space="preserve">Send email re project including questionnaire (post Advisory </w:t>
            </w:r>
            <w:proofErr w:type="spellStart"/>
            <w:r>
              <w:t>Brd</w:t>
            </w:r>
            <w:proofErr w:type="spellEnd"/>
            <w:r>
              <w:t>)</w:t>
            </w:r>
          </w:p>
          <w:p w:rsidR="0047067E" w:rsidRDefault="0047067E" w:rsidP="00E02346"/>
        </w:tc>
        <w:tc>
          <w:tcPr>
            <w:tcW w:w="1796" w:type="dxa"/>
          </w:tcPr>
          <w:p w:rsidR="00E02346" w:rsidRDefault="00E02346" w:rsidP="00E02346">
            <w:r>
              <w:t>All stakeholders</w:t>
            </w:r>
          </w:p>
        </w:tc>
        <w:tc>
          <w:tcPr>
            <w:tcW w:w="1822" w:type="dxa"/>
          </w:tcPr>
          <w:p w:rsidR="00E02346" w:rsidRDefault="00D37722" w:rsidP="00E02346">
            <w:r>
              <w:t xml:space="preserve">6 </w:t>
            </w:r>
            <w:r w:rsidR="0075240F">
              <w:t>June</w:t>
            </w:r>
            <w:r w:rsidR="00E02346">
              <w:t>2016</w:t>
            </w:r>
          </w:p>
        </w:tc>
        <w:tc>
          <w:tcPr>
            <w:tcW w:w="1822" w:type="dxa"/>
          </w:tcPr>
          <w:p w:rsidR="00E02346" w:rsidRDefault="00E02346" w:rsidP="00E02346">
            <w:proofErr w:type="spellStart"/>
            <w:r>
              <w:t>GMc</w:t>
            </w:r>
            <w:proofErr w:type="spellEnd"/>
            <w:r>
              <w:t>/AC</w:t>
            </w:r>
          </w:p>
        </w:tc>
        <w:tc>
          <w:tcPr>
            <w:tcW w:w="1902" w:type="dxa"/>
          </w:tcPr>
          <w:p w:rsidR="00E02346" w:rsidRDefault="00E02346" w:rsidP="00E02346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E02346" w:rsidRPr="009408DA" w:rsidRDefault="00E02346" w:rsidP="00E02346"/>
        </w:tc>
      </w:tr>
      <w:tr w:rsidR="00E02346" w:rsidTr="009C3885">
        <w:tc>
          <w:tcPr>
            <w:tcW w:w="1094" w:type="dxa"/>
          </w:tcPr>
          <w:p w:rsidR="00E02346" w:rsidRDefault="00E02346" w:rsidP="00E02346">
            <w:r>
              <w:t>Engage</w:t>
            </w:r>
          </w:p>
        </w:tc>
        <w:tc>
          <w:tcPr>
            <w:tcW w:w="3670" w:type="dxa"/>
          </w:tcPr>
          <w:p w:rsidR="00E02346" w:rsidRDefault="00E02346" w:rsidP="00E02346">
            <w:r>
              <w:t>Questionnaire available for completion</w:t>
            </w:r>
            <w:r w:rsidR="0047067E">
              <w:t>;</w:t>
            </w:r>
          </w:p>
          <w:p w:rsidR="0047067E" w:rsidRDefault="0047067E" w:rsidP="00E02346">
            <w:r w:rsidRPr="0047067E">
              <w:t>Wider engagement on questions and options with group 1- NHS to generate ideas, group 2- Wider groups to comment, group 3 - DPH's as with group 1 but will also be requested to describe how services are delivered locally</w:t>
            </w:r>
          </w:p>
          <w:p w:rsidR="0047067E" w:rsidRDefault="0047067E" w:rsidP="00E02346"/>
        </w:tc>
        <w:tc>
          <w:tcPr>
            <w:tcW w:w="1796" w:type="dxa"/>
          </w:tcPr>
          <w:p w:rsidR="00E02346" w:rsidRDefault="00E02346" w:rsidP="0047067E">
            <w:r>
              <w:t>All s</w:t>
            </w:r>
            <w:r w:rsidR="00D37722">
              <w:t>t</w:t>
            </w:r>
            <w:r>
              <w:t>akeholders</w:t>
            </w:r>
          </w:p>
        </w:tc>
        <w:tc>
          <w:tcPr>
            <w:tcW w:w="1822" w:type="dxa"/>
          </w:tcPr>
          <w:p w:rsidR="00E02346" w:rsidRDefault="00D37722" w:rsidP="003954CB">
            <w:r>
              <w:t>6</w:t>
            </w:r>
            <w:r w:rsidR="0075240F">
              <w:t xml:space="preserve"> June</w:t>
            </w:r>
            <w:r w:rsidR="00E02346">
              <w:t xml:space="preserve"> – </w:t>
            </w:r>
            <w:r w:rsidR="003954CB">
              <w:t xml:space="preserve">17 June </w:t>
            </w:r>
            <w:r w:rsidR="00E02346">
              <w:t>2016</w:t>
            </w:r>
          </w:p>
          <w:p w:rsidR="003954CB" w:rsidRDefault="003954CB" w:rsidP="003954CB"/>
          <w:p w:rsidR="003954CB" w:rsidRDefault="003954CB" w:rsidP="003954CB"/>
          <w:p w:rsidR="003954CB" w:rsidRDefault="003954CB" w:rsidP="003954CB"/>
          <w:p w:rsidR="003954CB" w:rsidRDefault="003954CB" w:rsidP="003954CB"/>
          <w:p w:rsidR="003954CB" w:rsidRDefault="003954CB" w:rsidP="003954CB">
            <w:r>
              <w:t>29 July 2016</w:t>
            </w:r>
          </w:p>
          <w:p w:rsidR="003954CB" w:rsidRDefault="003954CB" w:rsidP="003954CB"/>
        </w:tc>
        <w:tc>
          <w:tcPr>
            <w:tcW w:w="1822" w:type="dxa"/>
          </w:tcPr>
          <w:p w:rsidR="00E02346" w:rsidRDefault="00E02346" w:rsidP="00E02346">
            <w:proofErr w:type="spellStart"/>
            <w:r>
              <w:t>GMc</w:t>
            </w:r>
            <w:proofErr w:type="spellEnd"/>
            <w:r>
              <w:t>/AC</w:t>
            </w:r>
          </w:p>
          <w:p w:rsidR="00E02346" w:rsidRDefault="00E02346" w:rsidP="00E02346"/>
        </w:tc>
        <w:tc>
          <w:tcPr>
            <w:tcW w:w="1902" w:type="dxa"/>
          </w:tcPr>
          <w:p w:rsidR="00E02346" w:rsidRDefault="00E02346" w:rsidP="00E02346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E02346" w:rsidRPr="009408DA" w:rsidRDefault="00E02346" w:rsidP="00E02346"/>
        </w:tc>
      </w:tr>
      <w:tr w:rsidR="00E02346" w:rsidTr="009C3885">
        <w:tc>
          <w:tcPr>
            <w:tcW w:w="1094" w:type="dxa"/>
          </w:tcPr>
          <w:p w:rsidR="00E02346" w:rsidRDefault="00E02346" w:rsidP="00E02346">
            <w:r>
              <w:t>Engage</w:t>
            </w:r>
          </w:p>
        </w:tc>
        <w:tc>
          <w:tcPr>
            <w:tcW w:w="3670" w:type="dxa"/>
          </w:tcPr>
          <w:p w:rsidR="00E02346" w:rsidRDefault="00E02346" w:rsidP="00E02346">
            <w:r>
              <w:t>Project leads will attend meetings of key stakeholders to discuss project, process, questionnaire etc</w:t>
            </w:r>
          </w:p>
        </w:tc>
        <w:tc>
          <w:tcPr>
            <w:tcW w:w="1796" w:type="dxa"/>
          </w:tcPr>
          <w:p w:rsidR="00E02346" w:rsidRDefault="00E02346" w:rsidP="00E02346">
            <w:r>
              <w:t>Relevant groups</w:t>
            </w:r>
          </w:p>
        </w:tc>
        <w:tc>
          <w:tcPr>
            <w:tcW w:w="1822" w:type="dxa"/>
          </w:tcPr>
          <w:p w:rsidR="00E02346" w:rsidRDefault="00E02346" w:rsidP="00E02346">
            <w:bookmarkStart w:id="0" w:name="_GoBack"/>
            <w:bookmarkEnd w:id="0"/>
          </w:p>
        </w:tc>
        <w:tc>
          <w:tcPr>
            <w:tcW w:w="1822" w:type="dxa"/>
          </w:tcPr>
          <w:p w:rsidR="00E02346" w:rsidRDefault="00E02346" w:rsidP="00E02346">
            <w:r>
              <w:t>MA/PM</w:t>
            </w:r>
          </w:p>
        </w:tc>
        <w:tc>
          <w:tcPr>
            <w:tcW w:w="1902" w:type="dxa"/>
          </w:tcPr>
          <w:p w:rsidR="00E02346" w:rsidRDefault="00E02346" w:rsidP="00E02346"/>
        </w:tc>
        <w:tc>
          <w:tcPr>
            <w:tcW w:w="1842" w:type="dxa"/>
            <w:shd w:val="clear" w:color="auto" w:fill="00B050"/>
          </w:tcPr>
          <w:p w:rsidR="00E02346" w:rsidRPr="009408DA" w:rsidRDefault="00E02346" w:rsidP="00E02346"/>
        </w:tc>
      </w:tr>
      <w:tr w:rsidR="00E02346" w:rsidTr="009C3885">
        <w:tc>
          <w:tcPr>
            <w:tcW w:w="1094" w:type="dxa"/>
          </w:tcPr>
          <w:p w:rsidR="00E02346" w:rsidRDefault="00E02346" w:rsidP="00E02346">
            <w:r>
              <w:t>Engage</w:t>
            </w:r>
          </w:p>
        </w:tc>
        <w:tc>
          <w:tcPr>
            <w:tcW w:w="3670" w:type="dxa"/>
          </w:tcPr>
          <w:p w:rsidR="00E02346" w:rsidRDefault="00E02346" w:rsidP="00E02346">
            <w:r>
              <w:t>Invite to CPP and IJB events</w:t>
            </w:r>
          </w:p>
        </w:tc>
        <w:tc>
          <w:tcPr>
            <w:tcW w:w="1796" w:type="dxa"/>
          </w:tcPr>
          <w:p w:rsidR="00E02346" w:rsidRDefault="00E02346" w:rsidP="00E02346">
            <w:r>
              <w:t>CPPs and IJBs</w:t>
            </w:r>
          </w:p>
        </w:tc>
        <w:tc>
          <w:tcPr>
            <w:tcW w:w="1822" w:type="dxa"/>
          </w:tcPr>
          <w:p w:rsidR="00E02346" w:rsidRDefault="0075240F" w:rsidP="00E02346">
            <w:r>
              <w:t>3 June</w:t>
            </w:r>
            <w:r w:rsidR="00E02346">
              <w:t xml:space="preserve"> 2016</w:t>
            </w:r>
          </w:p>
        </w:tc>
        <w:tc>
          <w:tcPr>
            <w:tcW w:w="1822" w:type="dxa"/>
          </w:tcPr>
          <w:p w:rsidR="00E02346" w:rsidRDefault="00E02346" w:rsidP="00E02346">
            <w:proofErr w:type="spellStart"/>
            <w:r>
              <w:t>GMc</w:t>
            </w:r>
            <w:proofErr w:type="spellEnd"/>
            <w:r>
              <w:t>/AC</w:t>
            </w:r>
          </w:p>
        </w:tc>
        <w:tc>
          <w:tcPr>
            <w:tcW w:w="1902" w:type="dxa"/>
          </w:tcPr>
          <w:p w:rsidR="00E02346" w:rsidRDefault="00E02346" w:rsidP="00E02346"/>
        </w:tc>
        <w:tc>
          <w:tcPr>
            <w:tcW w:w="1842" w:type="dxa"/>
            <w:shd w:val="clear" w:color="auto" w:fill="FFC000"/>
          </w:tcPr>
          <w:p w:rsidR="00E02346" w:rsidRPr="009408DA" w:rsidRDefault="00E02346" w:rsidP="00E02346"/>
        </w:tc>
      </w:tr>
    </w:tbl>
    <w:p w:rsidR="00191773" w:rsidRDefault="00191773"/>
    <w:p w:rsidR="00A4444B" w:rsidRPr="00E6533B" w:rsidRDefault="009408DA">
      <w:pPr>
        <w:rPr>
          <w:b/>
        </w:rPr>
      </w:pPr>
      <w:r>
        <w:rPr>
          <w:b/>
        </w:rPr>
        <w:t>Phase</w:t>
      </w:r>
      <w:r w:rsidR="00A4444B" w:rsidRPr="00E6533B">
        <w:rPr>
          <w:b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655"/>
        <w:gridCol w:w="1795"/>
        <w:gridCol w:w="1835"/>
        <w:gridCol w:w="1830"/>
        <w:gridCol w:w="1901"/>
        <w:gridCol w:w="1840"/>
      </w:tblGrid>
      <w:tr w:rsidR="00A4444B" w:rsidTr="00F047BA">
        <w:tc>
          <w:tcPr>
            <w:tcW w:w="1092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Theme</w:t>
            </w:r>
          </w:p>
        </w:tc>
        <w:tc>
          <w:tcPr>
            <w:tcW w:w="3655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Activity</w:t>
            </w:r>
          </w:p>
        </w:tc>
        <w:tc>
          <w:tcPr>
            <w:tcW w:w="1795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Recipient</w:t>
            </w:r>
          </w:p>
        </w:tc>
        <w:tc>
          <w:tcPr>
            <w:tcW w:w="1835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Date</w:t>
            </w:r>
          </w:p>
        </w:tc>
        <w:tc>
          <w:tcPr>
            <w:tcW w:w="1830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Lead</w:t>
            </w:r>
          </w:p>
        </w:tc>
        <w:tc>
          <w:tcPr>
            <w:tcW w:w="1901" w:type="dxa"/>
          </w:tcPr>
          <w:p w:rsidR="00A4444B" w:rsidRPr="00D8704E" w:rsidRDefault="00A4444B" w:rsidP="009C35D3">
            <w:pPr>
              <w:rPr>
                <w:b/>
              </w:rPr>
            </w:pPr>
            <w:r w:rsidRPr="00D8704E">
              <w:rPr>
                <w:b/>
              </w:rPr>
              <w:t>Comments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A4444B" w:rsidRPr="00D8704E" w:rsidRDefault="00D8704E" w:rsidP="009C35D3">
            <w:pPr>
              <w:rPr>
                <w:b/>
              </w:rPr>
            </w:pPr>
            <w:r>
              <w:rPr>
                <w:b/>
              </w:rPr>
              <w:t xml:space="preserve">RAG </w:t>
            </w:r>
            <w:r w:rsidR="00A4444B" w:rsidRPr="00D8704E">
              <w:rPr>
                <w:b/>
              </w:rPr>
              <w:t>Status</w:t>
            </w:r>
          </w:p>
        </w:tc>
      </w:tr>
      <w:tr w:rsidR="00A4444B" w:rsidTr="00F047BA">
        <w:tc>
          <w:tcPr>
            <w:tcW w:w="1092" w:type="dxa"/>
          </w:tcPr>
          <w:p w:rsidR="00A4444B" w:rsidRDefault="00A4444B" w:rsidP="009C35D3">
            <w:r>
              <w:t>Inform</w:t>
            </w:r>
          </w:p>
        </w:tc>
        <w:tc>
          <w:tcPr>
            <w:tcW w:w="3655" w:type="dxa"/>
          </w:tcPr>
          <w:p w:rsidR="00A4444B" w:rsidRDefault="00684B06" w:rsidP="009C35D3">
            <w:r>
              <w:t>Send update on project progress</w:t>
            </w:r>
          </w:p>
        </w:tc>
        <w:tc>
          <w:tcPr>
            <w:tcW w:w="1795" w:type="dxa"/>
          </w:tcPr>
          <w:p w:rsidR="00A4444B" w:rsidRDefault="00684B06" w:rsidP="009C35D3">
            <w:r>
              <w:t>All stakeholders</w:t>
            </w:r>
          </w:p>
        </w:tc>
        <w:tc>
          <w:tcPr>
            <w:tcW w:w="1835" w:type="dxa"/>
          </w:tcPr>
          <w:p w:rsidR="00A4444B" w:rsidRDefault="00E02346" w:rsidP="009C35D3">
            <w:r>
              <w:t>End of July 2016</w:t>
            </w:r>
          </w:p>
          <w:p w:rsidR="00E02346" w:rsidRDefault="00E02346" w:rsidP="009C35D3">
            <w:r>
              <w:t>End of August 2016</w:t>
            </w:r>
          </w:p>
        </w:tc>
        <w:tc>
          <w:tcPr>
            <w:tcW w:w="1830" w:type="dxa"/>
          </w:tcPr>
          <w:p w:rsidR="00A4444B" w:rsidRDefault="00F047BA" w:rsidP="009C35D3">
            <w:r>
              <w:t>Project Grp</w:t>
            </w:r>
          </w:p>
        </w:tc>
        <w:tc>
          <w:tcPr>
            <w:tcW w:w="1901" w:type="dxa"/>
          </w:tcPr>
          <w:p w:rsidR="00A4444B" w:rsidRDefault="00A4444B" w:rsidP="009C35D3"/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A4444B" w:rsidRDefault="00A4444B" w:rsidP="009C35D3"/>
        </w:tc>
      </w:tr>
      <w:tr w:rsidR="00E02346" w:rsidTr="00F047BA">
        <w:tc>
          <w:tcPr>
            <w:tcW w:w="1092" w:type="dxa"/>
          </w:tcPr>
          <w:p w:rsidR="00E02346" w:rsidRDefault="00E02346" w:rsidP="009C35D3">
            <w:r>
              <w:t>Inform</w:t>
            </w:r>
          </w:p>
        </w:tc>
        <w:tc>
          <w:tcPr>
            <w:tcW w:w="3655" w:type="dxa"/>
          </w:tcPr>
          <w:p w:rsidR="00E02346" w:rsidRDefault="00E02346" w:rsidP="009C35D3">
            <w:r>
              <w:t xml:space="preserve">Email discussion with Advisory </w:t>
            </w:r>
            <w:proofErr w:type="spellStart"/>
            <w:r>
              <w:t>Brd</w:t>
            </w:r>
            <w:proofErr w:type="spellEnd"/>
          </w:p>
        </w:tc>
        <w:tc>
          <w:tcPr>
            <w:tcW w:w="1795" w:type="dxa"/>
          </w:tcPr>
          <w:p w:rsidR="00E02346" w:rsidRDefault="00825E1B" w:rsidP="009C35D3">
            <w:r>
              <w:t>PAG</w:t>
            </w:r>
          </w:p>
        </w:tc>
        <w:tc>
          <w:tcPr>
            <w:tcW w:w="1835" w:type="dxa"/>
          </w:tcPr>
          <w:p w:rsidR="00E02346" w:rsidRDefault="00E02346" w:rsidP="009C35D3">
            <w:r>
              <w:t>As necessary</w:t>
            </w:r>
          </w:p>
        </w:tc>
        <w:tc>
          <w:tcPr>
            <w:tcW w:w="1830" w:type="dxa"/>
          </w:tcPr>
          <w:p w:rsidR="00E02346" w:rsidRDefault="00E02346" w:rsidP="009C35D3">
            <w:r>
              <w:t>Project Grp</w:t>
            </w:r>
          </w:p>
        </w:tc>
        <w:tc>
          <w:tcPr>
            <w:tcW w:w="1901" w:type="dxa"/>
          </w:tcPr>
          <w:p w:rsidR="00E02346" w:rsidRPr="00E6533B" w:rsidRDefault="00E02346" w:rsidP="009C35D3"/>
        </w:tc>
        <w:tc>
          <w:tcPr>
            <w:tcW w:w="1840" w:type="dxa"/>
            <w:shd w:val="clear" w:color="auto" w:fill="auto"/>
          </w:tcPr>
          <w:p w:rsidR="00E02346" w:rsidRPr="00D8704E" w:rsidRDefault="00E02346" w:rsidP="009C35D3">
            <w:pPr>
              <w:rPr>
                <w:b/>
                <w:color w:val="00B050"/>
              </w:rPr>
            </w:pPr>
          </w:p>
        </w:tc>
      </w:tr>
      <w:tr w:rsidR="0075240F" w:rsidTr="00F047BA">
        <w:tc>
          <w:tcPr>
            <w:tcW w:w="1092" w:type="dxa"/>
          </w:tcPr>
          <w:p w:rsidR="0075240F" w:rsidRDefault="0075240F" w:rsidP="009C35D3">
            <w:r>
              <w:t>Inform</w:t>
            </w:r>
          </w:p>
        </w:tc>
        <w:tc>
          <w:tcPr>
            <w:tcW w:w="3655" w:type="dxa"/>
          </w:tcPr>
          <w:p w:rsidR="0075240F" w:rsidRDefault="0075240F" w:rsidP="009C35D3">
            <w:proofErr w:type="spellStart"/>
            <w:r>
              <w:t>Montly</w:t>
            </w:r>
            <w:proofErr w:type="spellEnd"/>
            <w:r>
              <w:t xml:space="preserve"> updates with Advisory </w:t>
            </w:r>
            <w:proofErr w:type="spellStart"/>
            <w:r>
              <w:t>Brd</w:t>
            </w:r>
            <w:proofErr w:type="spellEnd"/>
          </w:p>
        </w:tc>
        <w:tc>
          <w:tcPr>
            <w:tcW w:w="1795" w:type="dxa"/>
          </w:tcPr>
          <w:p w:rsidR="0075240F" w:rsidRDefault="00825E1B" w:rsidP="009C35D3">
            <w:r>
              <w:t>PAG</w:t>
            </w:r>
          </w:p>
        </w:tc>
        <w:tc>
          <w:tcPr>
            <w:tcW w:w="1835" w:type="dxa"/>
          </w:tcPr>
          <w:p w:rsidR="0075240F" w:rsidRDefault="0075240F" w:rsidP="009C35D3">
            <w:r>
              <w:t>June, July, Aug</w:t>
            </w:r>
          </w:p>
        </w:tc>
        <w:tc>
          <w:tcPr>
            <w:tcW w:w="1830" w:type="dxa"/>
          </w:tcPr>
          <w:p w:rsidR="0075240F" w:rsidRDefault="0075240F" w:rsidP="009C35D3">
            <w:r>
              <w:t>Project Grp</w:t>
            </w:r>
          </w:p>
        </w:tc>
        <w:tc>
          <w:tcPr>
            <w:tcW w:w="1901" w:type="dxa"/>
          </w:tcPr>
          <w:p w:rsidR="0075240F" w:rsidRPr="00E6533B" w:rsidRDefault="0075240F" w:rsidP="009C35D3"/>
        </w:tc>
        <w:tc>
          <w:tcPr>
            <w:tcW w:w="1840" w:type="dxa"/>
            <w:shd w:val="clear" w:color="auto" w:fill="auto"/>
          </w:tcPr>
          <w:p w:rsidR="0075240F" w:rsidRPr="00D8704E" w:rsidRDefault="0075240F" w:rsidP="009C35D3">
            <w:pPr>
              <w:rPr>
                <w:b/>
                <w:color w:val="00B050"/>
              </w:rPr>
            </w:pPr>
          </w:p>
        </w:tc>
      </w:tr>
      <w:tr w:rsidR="00E6533B" w:rsidTr="00F047BA">
        <w:tc>
          <w:tcPr>
            <w:tcW w:w="1092" w:type="dxa"/>
          </w:tcPr>
          <w:p w:rsidR="00E6533B" w:rsidRDefault="00E02346" w:rsidP="009C35D3">
            <w:r>
              <w:t>Inform</w:t>
            </w:r>
          </w:p>
        </w:tc>
        <w:tc>
          <w:tcPr>
            <w:tcW w:w="3655" w:type="dxa"/>
          </w:tcPr>
          <w:p w:rsidR="00E6533B" w:rsidRDefault="00E02346" w:rsidP="009C35D3">
            <w:proofErr w:type="spellStart"/>
            <w:r>
              <w:t>Mtg</w:t>
            </w:r>
            <w:proofErr w:type="spellEnd"/>
            <w:r>
              <w:t xml:space="preserve"> with Advisory </w:t>
            </w:r>
            <w:proofErr w:type="spellStart"/>
            <w:r>
              <w:t>Brd</w:t>
            </w:r>
            <w:proofErr w:type="spellEnd"/>
            <w:r>
              <w:t xml:space="preserve"> to finalise BC options</w:t>
            </w:r>
          </w:p>
        </w:tc>
        <w:tc>
          <w:tcPr>
            <w:tcW w:w="1795" w:type="dxa"/>
          </w:tcPr>
          <w:p w:rsidR="00E6533B" w:rsidRDefault="00825E1B" w:rsidP="009C35D3">
            <w:r>
              <w:t>PAG</w:t>
            </w:r>
          </w:p>
        </w:tc>
        <w:tc>
          <w:tcPr>
            <w:tcW w:w="1835" w:type="dxa"/>
          </w:tcPr>
          <w:p w:rsidR="00E6533B" w:rsidRDefault="0075240F" w:rsidP="009C35D3">
            <w:r>
              <w:t>14</w:t>
            </w:r>
            <w:r w:rsidR="00E02346">
              <w:t xml:space="preserve">Sep </w:t>
            </w:r>
          </w:p>
        </w:tc>
        <w:tc>
          <w:tcPr>
            <w:tcW w:w="1830" w:type="dxa"/>
          </w:tcPr>
          <w:p w:rsidR="00E6533B" w:rsidRDefault="00E02346" w:rsidP="009C35D3">
            <w:r>
              <w:t>Project Grp</w:t>
            </w:r>
          </w:p>
        </w:tc>
        <w:tc>
          <w:tcPr>
            <w:tcW w:w="1901" w:type="dxa"/>
          </w:tcPr>
          <w:p w:rsidR="00E6533B" w:rsidRPr="00E6533B" w:rsidRDefault="00E6533B" w:rsidP="009C35D3"/>
        </w:tc>
        <w:tc>
          <w:tcPr>
            <w:tcW w:w="1840" w:type="dxa"/>
            <w:shd w:val="clear" w:color="auto" w:fill="auto"/>
          </w:tcPr>
          <w:p w:rsidR="00E6533B" w:rsidRPr="00D8704E" w:rsidRDefault="00E6533B" w:rsidP="009C35D3">
            <w:pPr>
              <w:rPr>
                <w:b/>
                <w:color w:val="00B050"/>
              </w:rPr>
            </w:pPr>
          </w:p>
        </w:tc>
      </w:tr>
      <w:tr w:rsidR="00E02346" w:rsidTr="00F047BA">
        <w:tc>
          <w:tcPr>
            <w:tcW w:w="1092" w:type="dxa"/>
          </w:tcPr>
          <w:p w:rsidR="00E02346" w:rsidRDefault="00F047BA" w:rsidP="009C35D3">
            <w:r>
              <w:t>Inform</w:t>
            </w:r>
          </w:p>
        </w:tc>
        <w:tc>
          <w:tcPr>
            <w:tcW w:w="3655" w:type="dxa"/>
          </w:tcPr>
          <w:p w:rsidR="00E02346" w:rsidRDefault="00F047BA" w:rsidP="009C35D3">
            <w:r>
              <w:t xml:space="preserve">Update SSP Health Portfolio </w:t>
            </w:r>
            <w:proofErr w:type="spellStart"/>
            <w:r>
              <w:t>Brd</w:t>
            </w:r>
            <w:proofErr w:type="spellEnd"/>
          </w:p>
        </w:tc>
        <w:tc>
          <w:tcPr>
            <w:tcW w:w="1795" w:type="dxa"/>
          </w:tcPr>
          <w:p w:rsidR="00E02346" w:rsidRDefault="00F047BA" w:rsidP="009C35D3">
            <w:r>
              <w:t>SSP HP Board</w:t>
            </w:r>
          </w:p>
        </w:tc>
        <w:tc>
          <w:tcPr>
            <w:tcW w:w="1835" w:type="dxa"/>
          </w:tcPr>
          <w:p w:rsidR="00E02346" w:rsidRDefault="00F047BA" w:rsidP="009C35D3">
            <w:r>
              <w:t>As necessary</w:t>
            </w:r>
          </w:p>
        </w:tc>
        <w:tc>
          <w:tcPr>
            <w:tcW w:w="1830" w:type="dxa"/>
          </w:tcPr>
          <w:p w:rsidR="00E02346" w:rsidRDefault="00F047BA" w:rsidP="009C35D3">
            <w:r>
              <w:t>MA/PM</w:t>
            </w:r>
          </w:p>
        </w:tc>
        <w:tc>
          <w:tcPr>
            <w:tcW w:w="1901" w:type="dxa"/>
          </w:tcPr>
          <w:p w:rsidR="00E02346" w:rsidRPr="00E6533B" w:rsidRDefault="00E02346" w:rsidP="009C35D3"/>
        </w:tc>
        <w:tc>
          <w:tcPr>
            <w:tcW w:w="1840" w:type="dxa"/>
            <w:shd w:val="clear" w:color="auto" w:fill="auto"/>
          </w:tcPr>
          <w:p w:rsidR="00E02346" w:rsidRPr="00D8704E" w:rsidRDefault="00E02346" w:rsidP="009C35D3">
            <w:pPr>
              <w:rPr>
                <w:b/>
                <w:color w:val="00B050"/>
              </w:rPr>
            </w:pPr>
          </w:p>
        </w:tc>
      </w:tr>
      <w:tr w:rsidR="00E02346" w:rsidTr="00F047BA">
        <w:tc>
          <w:tcPr>
            <w:tcW w:w="1092" w:type="dxa"/>
          </w:tcPr>
          <w:p w:rsidR="00E02346" w:rsidRDefault="00F047BA" w:rsidP="009C35D3">
            <w:r>
              <w:t>Inform</w:t>
            </w:r>
          </w:p>
        </w:tc>
        <w:tc>
          <w:tcPr>
            <w:tcW w:w="3655" w:type="dxa"/>
          </w:tcPr>
          <w:p w:rsidR="00E02346" w:rsidRDefault="00F047BA" w:rsidP="009C35D3">
            <w:r>
              <w:t>Liaise with SSP on development of BC options</w:t>
            </w:r>
          </w:p>
        </w:tc>
        <w:tc>
          <w:tcPr>
            <w:tcW w:w="1795" w:type="dxa"/>
          </w:tcPr>
          <w:p w:rsidR="00E02346" w:rsidRDefault="00F047BA" w:rsidP="009C35D3">
            <w:r>
              <w:t>SSP HP Board</w:t>
            </w:r>
          </w:p>
        </w:tc>
        <w:tc>
          <w:tcPr>
            <w:tcW w:w="1835" w:type="dxa"/>
          </w:tcPr>
          <w:p w:rsidR="00E02346" w:rsidRDefault="00F047BA" w:rsidP="009C35D3">
            <w:r>
              <w:t>TBA</w:t>
            </w:r>
          </w:p>
        </w:tc>
        <w:tc>
          <w:tcPr>
            <w:tcW w:w="1830" w:type="dxa"/>
          </w:tcPr>
          <w:p w:rsidR="00E02346" w:rsidRDefault="00F047BA" w:rsidP="009C35D3">
            <w:r>
              <w:t>Project Grp &amp; SSP</w:t>
            </w:r>
          </w:p>
        </w:tc>
        <w:tc>
          <w:tcPr>
            <w:tcW w:w="1901" w:type="dxa"/>
          </w:tcPr>
          <w:p w:rsidR="00E02346" w:rsidRPr="00E6533B" w:rsidRDefault="00E02346" w:rsidP="009C35D3"/>
        </w:tc>
        <w:tc>
          <w:tcPr>
            <w:tcW w:w="1840" w:type="dxa"/>
            <w:shd w:val="clear" w:color="auto" w:fill="auto"/>
          </w:tcPr>
          <w:p w:rsidR="00E02346" w:rsidRPr="00D8704E" w:rsidRDefault="00E02346" w:rsidP="009C35D3">
            <w:pPr>
              <w:rPr>
                <w:b/>
                <w:color w:val="00B050"/>
              </w:rPr>
            </w:pPr>
          </w:p>
        </w:tc>
      </w:tr>
      <w:tr w:rsidR="00F047BA" w:rsidTr="00F047BA">
        <w:tc>
          <w:tcPr>
            <w:tcW w:w="1092" w:type="dxa"/>
          </w:tcPr>
          <w:p w:rsidR="00F047BA" w:rsidRDefault="00F047BA" w:rsidP="00F047BA"/>
        </w:tc>
        <w:tc>
          <w:tcPr>
            <w:tcW w:w="3655" w:type="dxa"/>
          </w:tcPr>
          <w:p w:rsidR="00F047BA" w:rsidRDefault="00F047BA" w:rsidP="00F047BA"/>
        </w:tc>
        <w:tc>
          <w:tcPr>
            <w:tcW w:w="1795" w:type="dxa"/>
          </w:tcPr>
          <w:p w:rsidR="00F047BA" w:rsidRDefault="00F047BA" w:rsidP="00F047BA"/>
        </w:tc>
        <w:tc>
          <w:tcPr>
            <w:tcW w:w="1835" w:type="dxa"/>
          </w:tcPr>
          <w:p w:rsidR="00F047BA" w:rsidRDefault="00F047BA" w:rsidP="00F047BA"/>
        </w:tc>
        <w:tc>
          <w:tcPr>
            <w:tcW w:w="1830" w:type="dxa"/>
          </w:tcPr>
          <w:p w:rsidR="00F047BA" w:rsidRDefault="00F047BA" w:rsidP="00F047BA"/>
        </w:tc>
        <w:tc>
          <w:tcPr>
            <w:tcW w:w="1901" w:type="dxa"/>
          </w:tcPr>
          <w:p w:rsidR="00F047BA" w:rsidRDefault="00F047BA" w:rsidP="00F047BA"/>
        </w:tc>
        <w:tc>
          <w:tcPr>
            <w:tcW w:w="1840" w:type="dxa"/>
            <w:shd w:val="clear" w:color="auto" w:fill="auto"/>
          </w:tcPr>
          <w:p w:rsidR="00F047BA" w:rsidRDefault="00F047BA" w:rsidP="00F047BA"/>
        </w:tc>
      </w:tr>
      <w:tr w:rsidR="00F047BA" w:rsidTr="00F047BA">
        <w:tc>
          <w:tcPr>
            <w:tcW w:w="1092" w:type="dxa"/>
          </w:tcPr>
          <w:p w:rsidR="00F047BA" w:rsidRDefault="00F047BA" w:rsidP="00F047BA">
            <w:r>
              <w:t>Engage</w:t>
            </w:r>
          </w:p>
        </w:tc>
        <w:tc>
          <w:tcPr>
            <w:tcW w:w="3655" w:type="dxa"/>
          </w:tcPr>
          <w:p w:rsidR="00F047BA" w:rsidRDefault="00D37722" w:rsidP="00F047BA">
            <w:r>
              <w:t xml:space="preserve">Discuss draft options for views of NHS stakeholders </w:t>
            </w:r>
          </w:p>
        </w:tc>
        <w:tc>
          <w:tcPr>
            <w:tcW w:w="1795" w:type="dxa"/>
          </w:tcPr>
          <w:p w:rsidR="00F047BA" w:rsidRDefault="00F047BA" w:rsidP="00F047BA">
            <w:r>
              <w:t>All stakeholders</w:t>
            </w:r>
          </w:p>
        </w:tc>
        <w:tc>
          <w:tcPr>
            <w:tcW w:w="1835" w:type="dxa"/>
          </w:tcPr>
          <w:p w:rsidR="00F047BA" w:rsidRDefault="00D37722" w:rsidP="0047067E">
            <w:r>
              <w:t>2</w:t>
            </w:r>
            <w:r w:rsidR="0047067E">
              <w:t>4</w:t>
            </w:r>
            <w:r w:rsidR="00F047BA">
              <w:t xml:space="preserve"> August 2016</w:t>
            </w:r>
            <w:r>
              <w:t xml:space="preserve"> </w:t>
            </w:r>
          </w:p>
        </w:tc>
        <w:tc>
          <w:tcPr>
            <w:tcW w:w="1830" w:type="dxa"/>
          </w:tcPr>
          <w:p w:rsidR="00F047BA" w:rsidRDefault="00F047BA" w:rsidP="00F047BA">
            <w:proofErr w:type="spellStart"/>
            <w:r>
              <w:t>GMc</w:t>
            </w:r>
            <w:proofErr w:type="spellEnd"/>
            <w:r>
              <w:t>/AC</w:t>
            </w:r>
          </w:p>
        </w:tc>
        <w:tc>
          <w:tcPr>
            <w:tcW w:w="1901" w:type="dxa"/>
          </w:tcPr>
          <w:p w:rsidR="00F047BA" w:rsidRDefault="00F047BA" w:rsidP="00F047BA"/>
        </w:tc>
        <w:tc>
          <w:tcPr>
            <w:tcW w:w="1840" w:type="dxa"/>
            <w:shd w:val="clear" w:color="auto" w:fill="auto"/>
          </w:tcPr>
          <w:p w:rsidR="00F047BA" w:rsidRDefault="00F047BA" w:rsidP="00F047BA"/>
        </w:tc>
      </w:tr>
      <w:tr w:rsidR="00D37722" w:rsidTr="00F047BA">
        <w:tc>
          <w:tcPr>
            <w:tcW w:w="1092" w:type="dxa"/>
          </w:tcPr>
          <w:p w:rsidR="00D37722" w:rsidRDefault="00D37722" w:rsidP="00D37722">
            <w:r>
              <w:t>Engage</w:t>
            </w:r>
          </w:p>
        </w:tc>
        <w:tc>
          <w:tcPr>
            <w:tcW w:w="3655" w:type="dxa"/>
          </w:tcPr>
          <w:p w:rsidR="00D37722" w:rsidRDefault="00D37722" w:rsidP="00D37722">
            <w:proofErr w:type="spellStart"/>
            <w:r>
              <w:t>Mtgs</w:t>
            </w:r>
            <w:proofErr w:type="spellEnd"/>
            <w:r>
              <w:t xml:space="preserve"> with CPPs and IJBs</w:t>
            </w:r>
          </w:p>
        </w:tc>
        <w:tc>
          <w:tcPr>
            <w:tcW w:w="1795" w:type="dxa"/>
          </w:tcPr>
          <w:p w:rsidR="00D37722" w:rsidRDefault="00D37722" w:rsidP="00D37722">
            <w:r>
              <w:t>CPPs and IJBs</w:t>
            </w:r>
          </w:p>
          <w:p w:rsidR="00D37722" w:rsidRDefault="00D37722" w:rsidP="00D37722">
            <w:r>
              <w:t>And other stakeholders if necessary</w:t>
            </w:r>
          </w:p>
        </w:tc>
        <w:tc>
          <w:tcPr>
            <w:tcW w:w="1835" w:type="dxa"/>
          </w:tcPr>
          <w:p w:rsidR="00D37722" w:rsidRDefault="0047067E" w:rsidP="0047067E">
            <w:r>
              <w:t>20</w:t>
            </w:r>
            <w:r w:rsidR="00D37722">
              <w:t xml:space="preserve"> Sep 2016 </w:t>
            </w:r>
          </w:p>
        </w:tc>
        <w:tc>
          <w:tcPr>
            <w:tcW w:w="1830" w:type="dxa"/>
          </w:tcPr>
          <w:p w:rsidR="00D37722" w:rsidRDefault="00D37722" w:rsidP="00D37722">
            <w:proofErr w:type="spellStart"/>
            <w:r>
              <w:t>GMc</w:t>
            </w:r>
            <w:proofErr w:type="spellEnd"/>
            <w:r>
              <w:t>/AC</w:t>
            </w:r>
          </w:p>
        </w:tc>
        <w:tc>
          <w:tcPr>
            <w:tcW w:w="1901" w:type="dxa"/>
          </w:tcPr>
          <w:p w:rsidR="00D37722" w:rsidRDefault="00D37722" w:rsidP="00D37722"/>
        </w:tc>
        <w:tc>
          <w:tcPr>
            <w:tcW w:w="1840" w:type="dxa"/>
            <w:shd w:val="clear" w:color="auto" w:fill="auto"/>
          </w:tcPr>
          <w:p w:rsidR="00D37722" w:rsidRDefault="00D37722" w:rsidP="00D37722"/>
        </w:tc>
      </w:tr>
    </w:tbl>
    <w:p w:rsidR="00A4444B" w:rsidRDefault="00A4444B"/>
    <w:sectPr w:rsidR="00A4444B" w:rsidSect="0019177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42" w:rsidRDefault="00831842" w:rsidP="00831842">
      <w:pPr>
        <w:spacing w:after="0" w:line="240" w:lineRule="auto"/>
      </w:pPr>
      <w:r>
        <w:separator/>
      </w:r>
    </w:p>
  </w:endnote>
  <w:endnote w:type="continuationSeparator" w:id="0">
    <w:p w:rsidR="00831842" w:rsidRDefault="00831842" w:rsidP="0083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1F" w:rsidRPr="00EC4844" w:rsidRDefault="00911E1F" w:rsidP="00EC4844">
    <w:pPr>
      <w:pStyle w:val="Footer"/>
      <w:jc w:val="center"/>
      <w:rPr>
        <w:rFonts w:ascii="Arial" w:hAnsi="Arial" w:cs="Arial"/>
        <w:sz w:val="20"/>
        <w:szCs w:val="20"/>
      </w:rPr>
    </w:pPr>
    <w:r w:rsidRPr="00EC4844">
      <w:rPr>
        <w:rStyle w:val="PageNumber"/>
        <w:rFonts w:ascii="Arial" w:hAnsi="Arial" w:cs="Arial"/>
        <w:sz w:val="20"/>
        <w:szCs w:val="20"/>
      </w:rPr>
      <w:fldChar w:fldCharType="begin"/>
    </w:r>
    <w:r w:rsidRPr="00EC484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C4844">
      <w:rPr>
        <w:rStyle w:val="PageNumber"/>
        <w:rFonts w:ascii="Arial" w:hAnsi="Arial" w:cs="Arial"/>
        <w:sz w:val="20"/>
        <w:szCs w:val="20"/>
      </w:rPr>
      <w:fldChar w:fldCharType="separate"/>
    </w:r>
    <w:r w:rsidR="003954CB">
      <w:rPr>
        <w:rStyle w:val="PageNumber"/>
        <w:rFonts w:ascii="Arial" w:hAnsi="Arial" w:cs="Arial"/>
        <w:noProof/>
        <w:sz w:val="20"/>
        <w:szCs w:val="20"/>
      </w:rPr>
      <w:t>4</w:t>
    </w:r>
    <w:r w:rsidRPr="00EC484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42" w:rsidRDefault="009528D9">
    <w:pPr>
      <w:pStyle w:val="Footer"/>
    </w:pPr>
    <w:r>
      <w:t>Version – 1.</w:t>
    </w:r>
    <w:r w:rsidR="0057138B">
      <w:t>3</w:t>
    </w:r>
    <w:r>
      <w:t xml:space="preserve"> (Working Draft)</w:t>
    </w:r>
  </w:p>
  <w:p w:rsidR="00831842" w:rsidRDefault="009528D9">
    <w:pPr>
      <w:pStyle w:val="Footer"/>
    </w:pPr>
    <w:r>
      <w:t xml:space="preserve">Authors: </w:t>
    </w:r>
    <w:r w:rsidR="00831842">
      <w:t>AC</w:t>
    </w:r>
    <w:r w:rsidR="0057138B">
      <w:t>/GMcC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42" w:rsidRDefault="00831842" w:rsidP="00831842">
      <w:pPr>
        <w:spacing w:after="0" w:line="240" w:lineRule="auto"/>
      </w:pPr>
      <w:r>
        <w:separator/>
      </w:r>
    </w:p>
  </w:footnote>
  <w:footnote w:type="continuationSeparator" w:id="0">
    <w:p w:rsidR="00831842" w:rsidRDefault="00831842" w:rsidP="0083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4CC"/>
    <w:multiLevelType w:val="hybridMultilevel"/>
    <w:tmpl w:val="DA3A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34AF"/>
    <w:multiLevelType w:val="hybridMultilevel"/>
    <w:tmpl w:val="A63A9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38BC"/>
    <w:multiLevelType w:val="hybridMultilevel"/>
    <w:tmpl w:val="7680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483"/>
    <w:multiLevelType w:val="hybridMultilevel"/>
    <w:tmpl w:val="9E76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121"/>
    <w:multiLevelType w:val="hybridMultilevel"/>
    <w:tmpl w:val="6124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88C"/>
    <w:multiLevelType w:val="hybridMultilevel"/>
    <w:tmpl w:val="7790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5663"/>
    <w:multiLevelType w:val="hybridMultilevel"/>
    <w:tmpl w:val="F618A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38BA"/>
    <w:multiLevelType w:val="hybridMultilevel"/>
    <w:tmpl w:val="107A84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7EB3"/>
    <w:multiLevelType w:val="hybridMultilevel"/>
    <w:tmpl w:val="EBCC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1244"/>
    <w:multiLevelType w:val="hybridMultilevel"/>
    <w:tmpl w:val="C64A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E7B3F"/>
    <w:multiLevelType w:val="hybridMultilevel"/>
    <w:tmpl w:val="D04A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62961"/>
    <w:multiLevelType w:val="hybridMultilevel"/>
    <w:tmpl w:val="4B2C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029BE"/>
    <w:multiLevelType w:val="hybridMultilevel"/>
    <w:tmpl w:val="26A0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36D6F"/>
    <w:multiLevelType w:val="hybridMultilevel"/>
    <w:tmpl w:val="117A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03AC3"/>
    <w:multiLevelType w:val="hybridMultilevel"/>
    <w:tmpl w:val="AFD4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149"/>
    <w:multiLevelType w:val="hybridMultilevel"/>
    <w:tmpl w:val="9AD6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A04BB"/>
    <w:multiLevelType w:val="hybridMultilevel"/>
    <w:tmpl w:val="28D4CF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115C"/>
    <w:multiLevelType w:val="hybridMultilevel"/>
    <w:tmpl w:val="2092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6"/>
  </w:num>
  <w:num w:numId="5">
    <w:abstractNumId w:val="7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0"/>
  </w:num>
  <w:num w:numId="12">
    <w:abstractNumId w:val="17"/>
  </w:num>
  <w:num w:numId="13">
    <w:abstractNumId w:val="3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73"/>
    <w:rsid w:val="000562ED"/>
    <w:rsid w:val="000911FA"/>
    <w:rsid w:val="00177334"/>
    <w:rsid w:val="00191773"/>
    <w:rsid w:val="001F71F2"/>
    <w:rsid w:val="00215F77"/>
    <w:rsid w:val="00231057"/>
    <w:rsid w:val="00271798"/>
    <w:rsid w:val="002D5FDA"/>
    <w:rsid w:val="00320D3D"/>
    <w:rsid w:val="0039325C"/>
    <w:rsid w:val="003954CB"/>
    <w:rsid w:val="00403546"/>
    <w:rsid w:val="00413AA5"/>
    <w:rsid w:val="00437D2B"/>
    <w:rsid w:val="00457FAC"/>
    <w:rsid w:val="0047067E"/>
    <w:rsid w:val="005272F0"/>
    <w:rsid w:val="0057138B"/>
    <w:rsid w:val="00575282"/>
    <w:rsid w:val="006545FE"/>
    <w:rsid w:val="00664EAA"/>
    <w:rsid w:val="00665A04"/>
    <w:rsid w:val="00670200"/>
    <w:rsid w:val="00684B06"/>
    <w:rsid w:val="0075240F"/>
    <w:rsid w:val="007770ED"/>
    <w:rsid w:val="007D37FF"/>
    <w:rsid w:val="008068E7"/>
    <w:rsid w:val="00822089"/>
    <w:rsid w:val="00825E1B"/>
    <w:rsid w:val="0082619D"/>
    <w:rsid w:val="00831842"/>
    <w:rsid w:val="008645EA"/>
    <w:rsid w:val="008A7984"/>
    <w:rsid w:val="008D519E"/>
    <w:rsid w:val="00911E1F"/>
    <w:rsid w:val="009335F2"/>
    <w:rsid w:val="009408DA"/>
    <w:rsid w:val="009441B0"/>
    <w:rsid w:val="009528D9"/>
    <w:rsid w:val="00981C9E"/>
    <w:rsid w:val="009A7EEE"/>
    <w:rsid w:val="009B1067"/>
    <w:rsid w:val="009C3885"/>
    <w:rsid w:val="00A1121A"/>
    <w:rsid w:val="00A20297"/>
    <w:rsid w:val="00A259E4"/>
    <w:rsid w:val="00A4444B"/>
    <w:rsid w:val="00A74452"/>
    <w:rsid w:val="00A8464C"/>
    <w:rsid w:val="00B42484"/>
    <w:rsid w:val="00C62485"/>
    <w:rsid w:val="00C73DD5"/>
    <w:rsid w:val="00CA526B"/>
    <w:rsid w:val="00CB5BFD"/>
    <w:rsid w:val="00D37722"/>
    <w:rsid w:val="00D42EA2"/>
    <w:rsid w:val="00D43A72"/>
    <w:rsid w:val="00D8704E"/>
    <w:rsid w:val="00DA5B78"/>
    <w:rsid w:val="00DB2C39"/>
    <w:rsid w:val="00DF2481"/>
    <w:rsid w:val="00E02346"/>
    <w:rsid w:val="00E630A8"/>
    <w:rsid w:val="00E6533B"/>
    <w:rsid w:val="00E82A50"/>
    <w:rsid w:val="00EC595C"/>
    <w:rsid w:val="00ED722D"/>
    <w:rsid w:val="00EE3EF9"/>
    <w:rsid w:val="00F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6113D-22FB-430E-9A83-6974C4F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842"/>
  </w:style>
  <w:style w:type="paragraph" w:styleId="Footer">
    <w:name w:val="footer"/>
    <w:basedOn w:val="Normal"/>
    <w:link w:val="FooterChar"/>
    <w:uiPriority w:val="99"/>
    <w:unhideWhenUsed/>
    <w:rsid w:val="0083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842"/>
  </w:style>
  <w:style w:type="table" w:styleId="TableGrid">
    <w:name w:val="Table Grid"/>
    <w:basedOn w:val="TableNormal"/>
    <w:uiPriority w:val="59"/>
    <w:rsid w:val="0083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1E1F"/>
  </w:style>
  <w:style w:type="paragraph" w:styleId="ListParagraph">
    <w:name w:val="List Paragraph"/>
    <w:basedOn w:val="Normal"/>
    <w:uiPriority w:val="34"/>
    <w:qFormat/>
    <w:rsid w:val="00981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phn.net/projects/public-health-review/information-on-p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s.healthscotland-scotphn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 Scotland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Conacher</dc:creator>
  <cp:lastModifiedBy>Gillian McCartney</cp:lastModifiedBy>
  <cp:revision>6</cp:revision>
  <dcterms:created xsi:type="dcterms:W3CDTF">2016-06-06T14:17:00Z</dcterms:created>
  <dcterms:modified xsi:type="dcterms:W3CDTF">2016-06-06T14:30:00Z</dcterms:modified>
</cp:coreProperties>
</file>