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B9A" w:rsidRDefault="000D66A9" w:rsidP="000D66A9">
      <w:pPr>
        <w:jc w:val="center"/>
        <w:rPr>
          <w:b/>
        </w:rPr>
      </w:pPr>
      <w:r w:rsidRPr="000D66A9">
        <w:rPr>
          <w:b/>
        </w:rPr>
        <w:t>JOINT STATEMENT OF THE SCOTT</w:t>
      </w:r>
      <w:r w:rsidR="00477FEB">
        <w:rPr>
          <w:b/>
        </w:rPr>
        <w:t>ISH DIRECTORS OF PU</w:t>
      </w:r>
      <w:r w:rsidR="00537B9A">
        <w:rPr>
          <w:b/>
        </w:rPr>
        <w:t>BLIC HEALTH</w:t>
      </w:r>
    </w:p>
    <w:p w:rsidR="000D66A9" w:rsidRDefault="000D66A9" w:rsidP="000D66A9">
      <w:pPr>
        <w:jc w:val="center"/>
        <w:rPr>
          <w:b/>
        </w:rPr>
      </w:pPr>
      <w:r w:rsidRPr="000D66A9">
        <w:rPr>
          <w:b/>
        </w:rPr>
        <w:t>O</w:t>
      </w:r>
      <w:r w:rsidR="00DD501D">
        <w:rPr>
          <w:b/>
        </w:rPr>
        <w:t>N ACTION TO REDUCE CHILDHOOD OBESITY</w:t>
      </w:r>
    </w:p>
    <w:p w:rsidR="00537B9A" w:rsidRDefault="00537B9A" w:rsidP="000D66A9">
      <w:pPr>
        <w:jc w:val="center"/>
      </w:pPr>
    </w:p>
    <w:p w:rsidR="000D66A9" w:rsidRDefault="00803707" w:rsidP="000D66A9">
      <w:pPr>
        <w:jc w:val="center"/>
        <w:rPr>
          <w:i/>
        </w:rPr>
      </w:pPr>
      <w:r>
        <w:t>“</w:t>
      </w:r>
      <w:r w:rsidRPr="00803707">
        <w:rPr>
          <w:i/>
        </w:rPr>
        <w:t xml:space="preserve">Obesity is not only a serious and growing problem for individual children and the wider </w:t>
      </w:r>
      <w:r w:rsidR="00DD501D" w:rsidRPr="00803707">
        <w:rPr>
          <w:i/>
        </w:rPr>
        <w:t>population;</w:t>
      </w:r>
      <w:r w:rsidRPr="00803707">
        <w:rPr>
          <w:i/>
        </w:rPr>
        <w:t xml:space="preserve"> it is also a significant contributor to health inequality</w:t>
      </w:r>
      <w:r>
        <w:rPr>
          <w:i/>
        </w:rPr>
        <w:t>.”</w:t>
      </w:r>
    </w:p>
    <w:p w:rsidR="00537B9A" w:rsidRPr="0031160D" w:rsidRDefault="00803707" w:rsidP="0085778C">
      <w:pPr>
        <w:jc w:val="right"/>
        <w:rPr>
          <w:i/>
        </w:rPr>
      </w:pPr>
      <w:r>
        <w:rPr>
          <w:i/>
        </w:rPr>
        <w:t>(UK Parliament Health Committee, HC 465)</w:t>
      </w:r>
    </w:p>
    <w:p w:rsidR="0079560F" w:rsidRDefault="0079560F" w:rsidP="0074523E">
      <w:r>
        <w:t>The Scottish Directors of Public Health are united in expressing their view that the time has come for stronger action within Scotland and UK to tackle obesity and the obesogenic environment in which we live</w:t>
      </w:r>
      <w:r w:rsidR="0074523E">
        <w:t>:</w:t>
      </w:r>
    </w:p>
    <w:p w:rsidR="00292E79" w:rsidRDefault="0079560F" w:rsidP="00803707">
      <w:pPr>
        <w:pStyle w:val="ListParagraph"/>
        <w:numPr>
          <w:ilvl w:val="0"/>
          <w:numId w:val="9"/>
        </w:numPr>
        <w:ind w:left="426" w:hanging="426"/>
      </w:pPr>
      <w:r>
        <w:t xml:space="preserve">We therefore </w:t>
      </w:r>
      <w:r w:rsidR="000D66A9">
        <w:t>welcome the publication of the report “</w:t>
      </w:r>
      <w:r w:rsidR="000D66A9" w:rsidRPr="00803707">
        <w:rPr>
          <w:i/>
        </w:rPr>
        <w:t>Childhood Obesity – Brave and Bold Action</w:t>
      </w:r>
      <w:r w:rsidR="000D66A9" w:rsidRPr="000D66A9">
        <w:t>”</w:t>
      </w:r>
      <w:r w:rsidR="00D25B50" w:rsidRPr="00D25B50">
        <w:rPr>
          <w:vertAlign w:val="superscript"/>
        </w:rPr>
        <w:t>1</w:t>
      </w:r>
      <w:r w:rsidR="000D66A9">
        <w:t xml:space="preserve"> by the UK</w:t>
      </w:r>
      <w:r w:rsidR="00803707">
        <w:t xml:space="preserve"> Parliament’s Health Committee.  </w:t>
      </w:r>
    </w:p>
    <w:p w:rsidR="00803707" w:rsidRDefault="00803707" w:rsidP="00803707">
      <w:pPr>
        <w:pStyle w:val="ListParagraph"/>
        <w:ind w:left="294"/>
      </w:pPr>
    </w:p>
    <w:p w:rsidR="004945EF" w:rsidRDefault="00803707" w:rsidP="004945EF">
      <w:pPr>
        <w:pStyle w:val="ListParagraph"/>
        <w:numPr>
          <w:ilvl w:val="0"/>
          <w:numId w:val="9"/>
        </w:numPr>
        <w:ind w:left="426" w:hanging="426"/>
      </w:pPr>
      <w:r>
        <w:t xml:space="preserve">We </w:t>
      </w:r>
      <w:r w:rsidR="0079560F">
        <w:t xml:space="preserve">also </w:t>
      </w:r>
      <w:r>
        <w:t xml:space="preserve">welcome that it </w:t>
      </w:r>
      <w:r w:rsidR="00DD501D">
        <w:t xml:space="preserve">identifies common themes with </w:t>
      </w:r>
      <w:r>
        <w:t>t</w:t>
      </w:r>
      <w:r w:rsidR="00292E79">
        <w:t xml:space="preserve">he </w:t>
      </w:r>
      <w:r w:rsidR="00C02967">
        <w:t xml:space="preserve">findings of </w:t>
      </w:r>
      <w:r w:rsidR="0074523E">
        <w:t xml:space="preserve">recent </w:t>
      </w:r>
      <w:r w:rsidR="00C02967">
        <w:t xml:space="preserve">work </w:t>
      </w:r>
      <w:r w:rsidR="00292E79">
        <w:t>undertaken by the Scottish Public Health Network</w:t>
      </w:r>
      <w:r>
        <w:t xml:space="preserve"> on </w:t>
      </w:r>
      <w:r w:rsidR="00537B9A">
        <w:t>obesity</w:t>
      </w:r>
      <w:r w:rsidR="00D25B50">
        <w:rPr>
          <w:vertAlign w:val="superscript"/>
        </w:rPr>
        <w:t>2</w:t>
      </w:r>
      <w:r w:rsidR="00537B9A">
        <w:t xml:space="preserve"> and </w:t>
      </w:r>
      <w:r>
        <w:t xml:space="preserve">childhood </w:t>
      </w:r>
      <w:r w:rsidR="00537B9A">
        <w:t>obesity</w:t>
      </w:r>
      <w:r w:rsidR="00D25B50">
        <w:rPr>
          <w:vertAlign w:val="superscript"/>
        </w:rPr>
        <w:t>3</w:t>
      </w:r>
      <w:r w:rsidR="00537B9A">
        <w:t xml:space="preserve"> </w:t>
      </w:r>
      <w:r>
        <w:t>and that of Public Health England</w:t>
      </w:r>
      <w:r w:rsidR="00D25B50" w:rsidRPr="00D25B50">
        <w:rPr>
          <w:vertAlign w:val="superscript"/>
        </w:rPr>
        <w:t>4</w:t>
      </w:r>
      <w:r>
        <w:t xml:space="preserve"> on the effectiveness of a tax on </w:t>
      </w:r>
      <w:r w:rsidR="004945EF">
        <w:t>sugar as a means of reducing</w:t>
      </w:r>
      <w:r>
        <w:t xml:space="preserve"> obesity and </w:t>
      </w:r>
      <w:r w:rsidR="00DD501D">
        <w:t xml:space="preserve">dental decay, </w:t>
      </w:r>
      <w:r w:rsidR="00085F30">
        <w:t>i</w:t>
      </w:r>
      <w:r w:rsidR="00912B85">
        <w:t>n drawing up their r</w:t>
      </w:r>
      <w:r w:rsidR="00085F30">
        <w:t xml:space="preserve">ecommended actions. </w:t>
      </w:r>
    </w:p>
    <w:p w:rsidR="004945EF" w:rsidRDefault="004945EF" w:rsidP="004945EF">
      <w:pPr>
        <w:pStyle w:val="ListParagraph"/>
      </w:pPr>
    </w:p>
    <w:p w:rsidR="004945EF" w:rsidRDefault="005229A2" w:rsidP="004945EF">
      <w:pPr>
        <w:pStyle w:val="ListParagraph"/>
        <w:numPr>
          <w:ilvl w:val="0"/>
          <w:numId w:val="9"/>
        </w:numPr>
        <w:ind w:left="426" w:hanging="426"/>
      </w:pPr>
      <w:r>
        <w:t xml:space="preserve">We </w:t>
      </w:r>
      <w:r w:rsidR="0079560F">
        <w:t>further</w:t>
      </w:r>
      <w:r w:rsidR="0031160D">
        <w:t xml:space="preserve"> </w:t>
      </w:r>
      <w:r>
        <w:t>welcome that the</w:t>
      </w:r>
      <w:r w:rsidR="00085F30">
        <w:t xml:space="preserve">se recommended actions are </w:t>
      </w:r>
      <w:r>
        <w:t>more broadly supported by</w:t>
      </w:r>
      <w:r w:rsidR="00085F30">
        <w:t xml:space="preserve"> </w:t>
      </w:r>
      <w:r>
        <w:t xml:space="preserve">the Academy of Royal </w:t>
      </w:r>
      <w:r w:rsidR="0031160D">
        <w:t>M</w:t>
      </w:r>
      <w:r w:rsidR="00085F30">
        <w:t>edical Colleges</w:t>
      </w:r>
      <w:r w:rsidR="00912B85">
        <w:t>,</w:t>
      </w:r>
      <w:r w:rsidR="00D25B50">
        <w:rPr>
          <w:vertAlign w:val="superscript"/>
        </w:rPr>
        <w:t>5</w:t>
      </w:r>
      <w:r w:rsidR="004726B7">
        <w:t xml:space="preserve"> </w:t>
      </w:r>
      <w:r w:rsidR="00085F30">
        <w:t>professional bodies such as the BMA</w:t>
      </w:r>
      <w:r w:rsidR="00D25B50">
        <w:rPr>
          <w:vertAlign w:val="superscript"/>
        </w:rPr>
        <w:t>6</w:t>
      </w:r>
      <w:r w:rsidR="00085F30">
        <w:t xml:space="preserve"> and BDA</w:t>
      </w:r>
      <w:r w:rsidR="00D25B50">
        <w:rPr>
          <w:vertAlign w:val="superscript"/>
        </w:rPr>
        <w:t>7</w:t>
      </w:r>
      <w:r w:rsidR="00085F30">
        <w:t xml:space="preserve">, </w:t>
      </w:r>
      <w:r>
        <w:t>and General Practitioners</w:t>
      </w:r>
      <w:r w:rsidR="00D25B50">
        <w:rPr>
          <w:vertAlign w:val="superscript"/>
        </w:rPr>
        <w:t>8</w:t>
      </w:r>
      <w:r w:rsidR="00085F30">
        <w:t>.</w:t>
      </w:r>
      <w:r>
        <w:t xml:space="preserve">  </w:t>
      </w:r>
      <w:r w:rsidR="004945EF">
        <w:t xml:space="preserve">  </w:t>
      </w:r>
    </w:p>
    <w:p w:rsidR="00C02967" w:rsidRDefault="00BE6252" w:rsidP="0074523E">
      <w:r>
        <w:t>Effective</w:t>
      </w:r>
      <w:r w:rsidR="00C02967">
        <w:t xml:space="preserve"> </w:t>
      </w:r>
      <w:r w:rsidR="00E76892">
        <w:t xml:space="preserve">prevention and </w:t>
      </w:r>
      <w:r w:rsidR="00DD501D">
        <w:t xml:space="preserve">management </w:t>
      </w:r>
      <w:r>
        <w:t>of</w:t>
      </w:r>
      <w:r w:rsidR="00C02967">
        <w:t xml:space="preserve"> the current and future obesity epidemic in the UK</w:t>
      </w:r>
      <w:r>
        <w:t xml:space="preserve"> requires action on </w:t>
      </w:r>
      <w:r w:rsidR="0031160D">
        <w:t>a wide range of issues</w:t>
      </w:r>
      <w:r w:rsidR="00C02967">
        <w:t>.</w:t>
      </w:r>
      <w:r>
        <w:t xml:space="preserve"> </w:t>
      </w:r>
      <w:r w:rsidR="00C02967">
        <w:t xml:space="preserve"> </w:t>
      </w:r>
    </w:p>
    <w:p w:rsidR="0031160D" w:rsidRDefault="0031160D" w:rsidP="0031160D">
      <w:pPr>
        <w:pStyle w:val="ListParagraph"/>
        <w:numPr>
          <w:ilvl w:val="0"/>
          <w:numId w:val="9"/>
        </w:numPr>
        <w:ind w:left="426" w:hanging="426"/>
      </w:pPr>
      <w:r>
        <w:t xml:space="preserve">In this  National Sugar Awareness Week,  the Scottish Directors of Public Health  </w:t>
      </w:r>
      <w:r w:rsidR="00DD501D">
        <w:t>support</w:t>
      </w:r>
      <w:r>
        <w:t xml:space="preserve"> the call for a UK wide tax </w:t>
      </w:r>
      <w:r w:rsidR="00DD501D">
        <w:t xml:space="preserve">or levy </w:t>
      </w:r>
      <w:r>
        <w:t xml:space="preserve">on full sugar drinks </w:t>
      </w:r>
      <w:r w:rsidR="00DD501D">
        <w:t xml:space="preserve">and proposals </w:t>
      </w:r>
      <w:r>
        <w:t>to:</w:t>
      </w:r>
    </w:p>
    <w:p w:rsidR="0031160D" w:rsidRDefault="0031160D" w:rsidP="0031160D">
      <w:pPr>
        <w:pStyle w:val="ListParagraph"/>
        <w:numPr>
          <w:ilvl w:val="1"/>
          <w:numId w:val="9"/>
        </w:numPr>
        <w:ind w:left="851" w:hanging="425"/>
      </w:pPr>
      <w:r>
        <w:t xml:space="preserve">label sugar content in a manner that is simple to understand; </w:t>
      </w:r>
    </w:p>
    <w:p w:rsidR="0031160D" w:rsidRDefault="0031160D" w:rsidP="0031160D">
      <w:pPr>
        <w:pStyle w:val="ListParagraph"/>
        <w:numPr>
          <w:ilvl w:val="1"/>
          <w:numId w:val="9"/>
        </w:numPr>
        <w:ind w:left="851" w:hanging="425"/>
      </w:pPr>
      <w:r>
        <w:t>draw the attention of parents and children to the harm associated with excess sugar consumption; and</w:t>
      </w:r>
    </w:p>
    <w:p w:rsidR="0031160D" w:rsidRDefault="0031160D" w:rsidP="0031160D">
      <w:pPr>
        <w:pStyle w:val="ListParagraph"/>
        <w:numPr>
          <w:ilvl w:val="1"/>
          <w:numId w:val="9"/>
        </w:numPr>
        <w:ind w:left="851" w:hanging="425"/>
      </w:pPr>
      <w:r>
        <w:t xml:space="preserve">increases availability of alternatives.  </w:t>
      </w:r>
    </w:p>
    <w:p w:rsidR="0031160D" w:rsidRDefault="0031160D" w:rsidP="0031160D">
      <w:pPr>
        <w:pStyle w:val="ListParagraph"/>
      </w:pPr>
    </w:p>
    <w:p w:rsidR="0031160D" w:rsidRDefault="00DD501D" w:rsidP="0031160D">
      <w:pPr>
        <w:pStyle w:val="ListParagraph"/>
        <w:numPr>
          <w:ilvl w:val="0"/>
          <w:numId w:val="9"/>
        </w:numPr>
        <w:ind w:left="426" w:hanging="426"/>
        <w:jc w:val="both"/>
      </w:pPr>
      <w:r>
        <w:t>We</w:t>
      </w:r>
      <w:r w:rsidR="0031160D">
        <w:t xml:space="preserve"> also recognise that taxation is not the only tool available. </w:t>
      </w:r>
      <w:r w:rsidR="0079560F">
        <w:t>A</w:t>
      </w:r>
      <w:r w:rsidR="0031160D">
        <w:t>ction to put sugar in its place should include:</w:t>
      </w:r>
    </w:p>
    <w:p w:rsidR="0031160D" w:rsidRDefault="0031160D" w:rsidP="0031160D">
      <w:pPr>
        <w:pStyle w:val="ListParagraph"/>
        <w:numPr>
          <w:ilvl w:val="1"/>
          <w:numId w:val="9"/>
        </w:numPr>
        <w:jc w:val="both"/>
      </w:pPr>
      <w:r>
        <w:t xml:space="preserve">addressing excess promotion through strict, clear controls on advertising, marketing, sponsorship, discounting and bulk buys; </w:t>
      </w:r>
    </w:p>
    <w:p w:rsidR="0031160D" w:rsidRDefault="0031160D" w:rsidP="0031160D">
      <w:pPr>
        <w:pStyle w:val="ListParagraph"/>
        <w:numPr>
          <w:ilvl w:val="1"/>
          <w:numId w:val="9"/>
        </w:numPr>
        <w:jc w:val="both"/>
      </w:pPr>
      <w:r>
        <w:t xml:space="preserve">reducing availability to children e.g. removal </w:t>
      </w:r>
      <w:r w:rsidR="00BD31FE">
        <w:t>of sweets, suga</w:t>
      </w:r>
      <w:r w:rsidR="00E76892">
        <w:t xml:space="preserve">ry soft drinks and biscuits </w:t>
      </w:r>
      <w:r>
        <w:t xml:space="preserve">from </w:t>
      </w:r>
      <w:r w:rsidR="00DD501D">
        <w:t xml:space="preserve">near </w:t>
      </w:r>
      <w:r>
        <w:t xml:space="preserve">checkouts; </w:t>
      </w:r>
    </w:p>
    <w:p w:rsidR="0031160D" w:rsidRDefault="0031160D" w:rsidP="0031160D">
      <w:pPr>
        <w:pStyle w:val="ListParagraph"/>
        <w:numPr>
          <w:ilvl w:val="1"/>
          <w:numId w:val="9"/>
        </w:numPr>
        <w:jc w:val="both"/>
      </w:pPr>
      <w:r>
        <w:t xml:space="preserve">reducing portion sizes and changing recipes to remove hidden sugars; and </w:t>
      </w:r>
      <w:bookmarkStart w:id="0" w:name="_GoBack"/>
      <w:bookmarkEnd w:id="0"/>
    </w:p>
    <w:p w:rsidR="0031160D" w:rsidRDefault="0031160D" w:rsidP="0031160D">
      <w:pPr>
        <w:pStyle w:val="ListParagraph"/>
        <w:numPr>
          <w:ilvl w:val="1"/>
          <w:numId w:val="9"/>
        </w:numPr>
        <w:jc w:val="both"/>
      </w:pPr>
      <w:r>
        <w:t xml:space="preserve">ensuring that children and families can access low cost healthy nutritious food </w:t>
      </w:r>
    </w:p>
    <w:p w:rsidR="0031160D" w:rsidRDefault="0031160D" w:rsidP="00521A90">
      <w:pPr>
        <w:pStyle w:val="ListParagraph"/>
        <w:ind w:left="426"/>
      </w:pPr>
    </w:p>
    <w:p w:rsidR="0031160D" w:rsidRPr="0074523E" w:rsidRDefault="004945EF" w:rsidP="0074523E">
      <w:pPr>
        <w:jc w:val="both"/>
        <w:rPr>
          <w:b/>
          <w:i/>
        </w:rPr>
      </w:pPr>
      <w:r w:rsidRPr="0074523E">
        <w:rPr>
          <w:b/>
          <w:i/>
        </w:rPr>
        <w:t xml:space="preserve">We encourage the UK Government to recognise these as actions necessary to protect </w:t>
      </w:r>
      <w:r w:rsidR="00D90792">
        <w:rPr>
          <w:b/>
          <w:i/>
        </w:rPr>
        <w:t xml:space="preserve">the public’s health from obesity and </w:t>
      </w:r>
      <w:r w:rsidR="00DD501D">
        <w:rPr>
          <w:b/>
          <w:i/>
        </w:rPr>
        <w:t xml:space="preserve">its many consequences and </w:t>
      </w:r>
      <w:r w:rsidRPr="0074523E">
        <w:rPr>
          <w:b/>
          <w:i/>
        </w:rPr>
        <w:t xml:space="preserve">reduce the levels of pain and distress from tooth decay that children experience. </w:t>
      </w:r>
    </w:p>
    <w:p w:rsidR="0085778C" w:rsidRDefault="00181856" w:rsidP="0085778C">
      <w:pPr>
        <w:pStyle w:val="ListParagraph"/>
        <w:ind w:left="0"/>
        <w:jc w:val="both"/>
        <w:rPr>
          <w:b/>
        </w:rPr>
      </w:pPr>
      <w:r>
        <w:br/>
      </w:r>
      <w:r w:rsidRPr="0085778C">
        <w:rPr>
          <w:b/>
        </w:rPr>
        <w:t>Professor Alison McCallum</w:t>
      </w:r>
      <w:r w:rsidR="0085778C" w:rsidRPr="0085778C">
        <w:rPr>
          <w:b/>
        </w:rPr>
        <w:t>.</w:t>
      </w:r>
      <w:r w:rsidR="0085778C" w:rsidRPr="0085778C">
        <w:rPr>
          <w:b/>
        </w:rPr>
        <w:tab/>
      </w:r>
    </w:p>
    <w:p w:rsidR="00181856" w:rsidRPr="0085778C" w:rsidRDefault="00181856" w:rsidP="0085778C">
      <w:pPr>
        <w:pStyle w:val="ListParagraph"/>
        <w:ind w:left="0"/>
        <w:jc w:val="both"/>
        <w:rPr>
          <w:b/>
        </w:rPr>
      </w:pPr>
      <w:r w:rsidRPr="0085778C">
        <w:rPr>
          <w:b/>
        </w:rPr>
        <w:t>Chair, Scottish Directors of Public Health</w:t>
      </w:r>
      <w:r w:rsidR="004726B7">
        <w:rPr>
          <w:b/>
        </w:rPr>
        <w:t xml:space="preserve">, </w:t>
      </w:r>
      <w:r w:rsidR="00D26A1A">
        <w:rPr>
          <w:b/>
        </w:rPr>
        <w:t>3</w:t>
      </w:r>
      <w:r w:rsidR="00D26A1A" w:rsidRPr="00D26A1A">
        <w:rPr>
          <w:b/>
          <w:vertAlign w:val="superscript"/>
        </w:rPr>
        <w:t>rd</w:t>
      </w:r>
      <w:r w:rsidR="00D26A1A">
        <w:rPr>
          <w:b/>
        </w:rPr>
        <w:t xml:space="preserve"> </w:t>
      </w:r>
      <w:r w:rsidR="00537B9A" w:rsidRPr="0085778C">
        <w:rPr>
          <w:b/>
        </w:rPr>
        <w:t>December 2015</w:t>
      </w:r>
    </w:p>
    <w:p w:rsidR="00537B9A" w:rsidRPr="00537B9A" w:rsidRDefault="00537B9A" w:rsidP="00537B9A">
      <w:pPr>
        <w:spacing w:after="0" w:line="240" w:lineRule="auto"/>
        <w:jc w:val="both"/>
        <w:rPr>
          <w:b/>
        </w:rPr>
      </w:pPr>
      <w:r w:rsidRPr="00537B9A">
        <w:rPr>
          <w:b/>
        </w:rPr>
        <w:lastRenderedPageBreak/>
        <w:t>References</w:t>
      </w:r>
    </w:p>
    <w:p w:rsidR="00D25B50" w:rsidRDefault="00D25B50" w:rsidP="00D25B50">
      <w:pPr>
        <w:spacing w:after="0" w:line="240" w:lineRule="auto"/>
        <w:jc w:val="both"/>
      </w:pPr>
      <w:r>
        <w:t>First Report of Session 2015–16</w:t>
      </w:r>
    </w:p>
    <w:p w:rsidR="00D25B50" w:rsidRDefault="00F904B3" w:rsidP="00D25B50">
      <w:pPr>
        <w:pStyle w:val="ListParagraph"/>
        <w:numPr>
          <w:ilvl w:val="0"/>
          <w:numId w:val="11"/>
        </w:numPr>
        <w:spacing w:after="0" w:line="240" w:lineRule="auto"/>
      </w:pPr>
      <w:r>
        <w:t>UK Parliament</w:t>
      </w:r>
      <w:r w:rsidR="00D25B50">
        <w:t xml:space="preserve"> (2015). </w:t>
      </w:r>
      <w:r>
        <w:t xml:space="preserve">House of Commons </w:t>
      </w:r>
      <w:r w:rsidR="00D25B50">
        <w:t xml:space="preserve">Health Committee: Childhood obesity - brave and bold action (Available at </w:t>
      </w:r>
      <w:hyperlink r:id="rId8" w:history="1">
        <w:r w:rsidR="00D25B50" w:rsidRPr="00695869">
          <w:rPr>
            <w:rStyle w:val="Hyperlink"/>
          </w:rPr>
          <w:t>http://www.publications.parliament.uk/pa/cm201516/cmselect/cmhealth/465/465.pdf</w:t>
        </w:r>
      </w:hyperlink>
      <w:r w:rsidR="00D25B50">
        <w:t xml:space="preserve">) </w:t>
      </w:r>
    </w:p>
    <w:p w:rsidR="00537B9A" w:rsidRDefault="00537B9A" w:rsidP="004726B7">
      <w:pPr>
        <w:pStyle w:val="ListParagraph"/>
        <w:numPr>
          <w:ilvl w:val="0"/>
          <w:numId w:val="11"/>
        </w:numPr>
        <w:spacing w:after="0" w:line="240" w:lineRule="auto"/>
      </w:pPr>
      <w:r>
        <w:t xml:space="preserve">ScotPHN (2015). Obesity Route Map Review: Final Report  (Available at: </w:t>
      </w:r>
      <w:hyperlink r:id="rId9" w:history="1">
        <w:r w:rsidRPr="00C239B2">
          <w:rPr>
            <w:rStyle w:val="Hyperlink"/>
          </w:rPr>
          <w:t>http://www.scotphn.net/wp-content/uploads/2015/11/2015_11_13-Final-Report.pdf</w:t>
        </w:r>
      </w:hyperlink>
      <w:r>
        <w:t>)</w:t>
      </w:r>
    </w:p>
    <w:p w:rsidR="00537B9A" w:rsidRDefault="00537B9A" w:rsidP="004726B7">
      <w:pPr>
        <w:pStyle w:val="ListParagraph"/>
        <w:numPr>
          <w:ilvl w:val="0"/>
          <w:numId w:val="11"/>
        </w:numPr>
        <w:spacing w:after="0" w:line="240" w:lineRule="auto"/>
      </w:pPr>
      <w:r>
        <w:t>ScotPHN (2014)</w:t>
      </w:r>
      <w:r w:rsidR="00085F30">
        <w:t xml:space="preserve">. Report of the Scottish Public Health Obesity Special Interest Group: Expert Group on the Development of the Child Healthy Weight Programme in Scotland. (Available at: </w:t>
      </w:r>
      <w:hyperlink r:id="rId10" w:history="1">
        <w:r w:rsidR="0085778C" w:rsidRPr="00C239B2">
          <w:rPr>
            <w:rStyle w:val="Hyperlink"/>
          </w:rPr>
          <w:t>http://www.scotphn.net/wp-content/uploads/2015/09/2015_01_29_CHW_Report_to_Scottish_Government_Final.pdf</w:t>
        </w:r>
      </w:hyperlink>
      <w:r w:rsidR="00085F30">
        <w:t xml:space="preserve">)  </w:t>
      </w:r>
    </w:p>
    <w:p w:rsidR="00085F30" w:rsidRDefault="004726B7" w:rsidP="004726B7">
      <w:pPr>
        <w:pStyle w:val="ListParagraph"/>
        <w:numPr>
          <w:ilvl w:val="0"/>
          <w:numId w:val="11"/>
        </w:numPr>
        <w:spacing w:after="0" w:line="240" w:lineRule="auto"/>
      </w:pPr>
      <w:r>
        <w:t xml:space="preserve">Public Health England (2015) </w:t>
      </w:r>
      <w:r w:rsidR="00085F30">
        <w:t xml:space="preserve">Sugar reduction: the evidence for action. (Available at: </w:t>
      </w:r>
      <w:hyperlink r:id="rId11" w:history="1">
        <w:r w:rsidR="00085F30" w:rsidRPr="00C239B2">
          <w:rPr>
            <w:rStyle w:val="Hyperlink"/>
          </w:rPr>
          <w:t>https://www.gov.uk/government/uploads/system/uploads/attachment_data/file/470179/Sugar_reduction_The_evidence_for_action.pdf</w:t>
        </w:r>
      </w:hyperlink>
      <w:r w:rsidR="00085F30">
        <w:t xml:space="preserve">) </w:t>
      </w:r>
    </w:p>
    <w:p w:rsidR="00912B85" w:rsidRPr="00912B85" w:rsidRDefault="00912B85" w:rsidP="004726B7">
      <w:pPr>
        <w:pStyle w:val="ListParagraph"/>
        <w:numPr>
          <w:ilvl w:val="0"/>
          <w:numId w:val="11"/>
        </w:numPr>
        <w:spacing w:after="0" w:line="240" w:lineRule="auto"/>
      </w:pPr>
      <w:r>
        <w:t xml:space="preserve">AORMC (2013), </w:t>
      </w:r>
      <w:r w:rsidRPr="00912B85">
        <w:rPr>
          <w:rFonts w:cs="Arial"/>
          <w:szCs w:val="24"/>
        </w:rPr>
        <w:t xml:space="preserve">Up: the medical profession’s prescription </w:t>
      </w:r>
      <w:r>
        <w:rPr>
          <w:rFonts w:cs="Arial"/>
          <w:szCs w:val="24"/>
        </w:rPr>
        <w:t xml:space="preserve">for the nation’s obesity crisis. (Available at: </w:t>
      </w:r>
      <w:hyperlink r:id="rId12" w:history="1">
        <w:r w:rsidRPr="00C239B2">
          <w:rPr>
            <w:rStyle w:val="Hyperlink"/>
            <w:rFonts w:cs="Arial"/>
            <w:szCs w:val="24"/>
          </w:rPr>
          <w:t>http://www.aomrc.org.uk/doc_view/9673-measuring-up</w:t>
        </w:r>
      </w:hyperlink>
      <w:r>
        <w:rPr>
          <w:rFonts w:cs="Arial"/>
          <w:szCs w:val="24"/>
        </w:rPr>
        <w:t>).</w:t>
      </w:r>
    </w:p>
    <w:p w:rsidR="00912B85" w:rsidRDefault="00912B85" w:rsidP="004726B7">
      <w:pPr>
        <w:pStyle w:val="ListParagraph"/>
        <w:numPr>
          <w:ilvl w:val="0"/>
          <w:numId w:val="11"/>
        </w:numPr>
        <w:spacing w:after="0" w:line="240" w:lineRule="auto"/>
      </w:pPr>
      <w:r>
        <w:t xml:space="preserve">BMA (2015). Food for thought: promoting healthy diets among children and young people. (Available at: </w:t>
      </w:r>
      <w:hyperlink r:id="rId13" w:history="1">
        <w:r w:rsidRPr="00C239B2">
          <w:rPr>
            <w:rStyle w:val="Hyperlink"/>
          </w:rPr>
          <w:t>http://bmaopac.hosted.exlibrisgroup.com/exlibris/aleph/a21_1/apache_media/7CY7PA145G9D95CXKXVPKPYBP7JS6I.pdf</w:t>
        </w:r>
      </w:hyperlink>
      <w:r>
        <w:t>)</w:t>
      </w:r>
    </w:p>
    <w:p w:rsidR="00912B85" w:rsidRDefault="00912B85" w:rsidP="004726B7">
      <w:pPr>
        <w:pStyle w:val="ListParagraph"/>
        <w:numPr>
          <w:ilvl w:val="0"/>
          <w:numId w:val="11"/>
        </w:numPr>
        <w:spacing w:after="0" w:line="240" w:lineRule="auto"/>
      </w:pPr>
      <w:r>
        <w:t xml:space="preserve">BDA (2015). Sugar and children’s oral health. (See: </w:t>
      </w:r>
      <w:hyperlink r:id="rId14" w:history="1">
        <w:r w:rsidRPr="00C239B2">
          <w:rPr>
            <w:rStyle w:val="Hyperlink"/>
          </w:rPr>
          <w:t>https://www.bda.org/sugar</w:t>
        </w:r>
      </w:hyperlink>
      <w:r>
        <w:t>).</w:t>
      </w:r>
    </w:p>
    <w:p w:rsidR="00912B85" w:rsidRPr="00912B85" w:rsidRDefault="00912B85" w:rsidP="004726B7">
      <w:pPr>
        <w:pStyle w:val="ListParagraph"/>
        <w:numPr>
          <w:ilvl w:val="0"/>
          <w:numId w:val="11"/>
        </w:numPr>
        <w:spacing w:after="0" w:line="240" w:lineRule="auto"/>
      </w:pPr>
      <w:r>
        <w:t>Pulse (2015</w:t>
      </w:r>
      <w:r w:rsidR="0085778C">
        <w:t xml:space="preserve">). </w:t>
      </w:r>
      <w:r w:rsidR="0085778C" w:rsidRPr="0085778C">
        <w:t>Seven out of ten GPs back a sugar tax</w:t>
      </w:r>
      <w:r w:rsidR="0085778C">
        <w:t>. (See</w:t>
      </w:r>
      <w:r w:rsidR="0085778C" w:rsidRPr="0085778C">
        <w:t xml:space="preserve"> </w:t>
      </w:r>
      <w:hyperlink r:id="rId15" w:history="1">
        <w:r w:rsidR="0085778C" w:rsidRPr="00C239B2">
          <w:rPr>
            <w:rStyle w:val="Hyperlink"/>
          </w:rPr>
          <w:t>http://www.pulsetoday.co.uk/news/political-news/seven-out-of-ten-gps-back-a-sugar-tax/20030346.article</w:t>
        </w:r>
      </w:hyperlink>
      <w:r w:rsidR="0085778C">
        <w:t>).</w:t>
      </w:r>
      <w:r w:rsidR="0085778C" w:rsidRPr="0085778C">
        <w:rPr>
          <w:lang w:val="en"/>
        </w:rPr>
        <w:t xml:space="preserve"> </w:t>
      </w:r>
      <w:r w:rsidR="0085778C">
        <w:t xml:space="preserve"> </w:t>
      </w:r>
    </w:p>
    <w:p w:rsidR="00537B9A" w:rsidRDefault="00537B9A" w:rsidP="00537B9A">
      <w:pPr>
        <w:spacing w:after="0" w:line="240" w:lineRule="auto"/>
        <w:jc w:val="both"/>
      </w:pPr>
    </w:p>
    <w:p w:rsidR="00537B9A" w:rsidRDefault="00537B9A" w:rsidP="00537B9A">
      <w:pPr>
        <w:spacing w:after="0" w:line="240" w:lineRule="auto"/>
        <w:jc w:val="both"/>
        <w:rPr>
          <w:b/>
        </w:rPr>
      </w:pPr>
    </w:p>
    <w:p w:rsidR="00537B9A" w:rsidRDefault="00537B9A" w:rsidP="00537B9A">
      <w:pPr>
        <w:spacing w:after="0" w:line="240" w:lineRule="auto"/>
        <w:jc w:val="both"/>
        <w:rPr>
          <w:b/>
        </w:rPr>
      </w:pPr>
    </w:p>
    <w:p w:rsidR="00537B9A" w:rsidRDefault="00537B9A" w:rsidP="00537B9A">
      <w:pPr>
        <w:spacing w:after="0" w:line="240" w:lineRule="auto"/>
        <w:jc w:val="both"/>
        <w:rPr>
          <w:b/>
        </w:rPr>
      </w:pPr>
    </w:p>
    <w:p w:rsidR="00FC1E0B" w:rsidRPr="00FC1E0B" w:rsidRDefault="00FC1E0B" w:rsidP="00537B9A">
      <w:pPr>
        <w:spacing w:after="0" w:line="240" w:lineRule="auto"/>
        <w:jc w:val="both"/>
        <w:rPr>
          <w:b/>
        </w:rPr>
      </w:pPr>
      <w:r w:rsidRPr="00FC1E0B">
        <w:rPr>
          <w:b/>
        </w:rPr>
        <w:t>Notes for Editors</w:t>
      </w:r>
    </w:p>
    <w:p w:rsidR="0085778C" w:rsidRDefault="0085778C" w:rsidP="0085778C">
      <w:pPr>
        <w:jc w:val="both"/>
      </w:pPr>
    </w:p>
    <w:p w:rsidR="0085778C" w:rsidRDefault="0085778C" w:rsidP="004726B7">
      <w:pPr>
        <w:spacing w:after="0"/>
      </w:pPr>
      <w:r>
        <w:t xml:space="preserve">Further information and </w:t>
      </w:r>
      <w:r w:rsidR="004726B7">
        <w:t>comment on this statement</w:t>
      </w:r>
      <w:r w:rsidR="00DD501D">
        <w:t>,</w:t>
      </w:r>
      <w:r w:rsidR="004726B7">
        <w:t xml:space="preserve"> </w:t>
      </w:r>
      <w:r w:rsidR="00DD501D">
        <w:t xml:space="preserve">and on actions currently being taken to prevent and manage obesity in Scotland, </w:t>
      </w:r>
      <w:r>
        <w:t>can be sourced from:</w:t>
      </w:r>
    </w:p>
    <w:p w:rsidR="00DD501D" w:rsidRDefault="00DD501D" w:rsidP="0085778C">
      <w:pPr>
        <w:spacing w:after="0"/>
        <w:jc w:val="both"/>
      </w:pPr>
    </w:p>
    <w:p w:rsidR="0085778C" w:rsidRDefault="0085778C" w:rsidP="0085778C">
      <w:pPr>
        <w:pStyle w:val="ListParagraph"/>
        <w:numPr>
          <w:ilvl w:val="0"/>
          <w:numId w:val="12"/>
        </w:numPr>
        <w:spacing w:after="0"/>
        <w:jc w:val="both"/>
      </w:pPr>
      <w:r>
        <w:t>For the Scottish Directors of Public Health Group:</w:t>
      </w:r>
    </w:p>
    <w:p w:rsidR="00FC1E0B" w:rsidRDefault="0085778C" w:rsidP="0085778C">
      <w:pPr>
        <w:pStyle w:val="ListParagraph"/>
        <w:spacing w:after="0"/>
        <w:jc w:val="both"/>
      </w:pPr>
      <w:r>
        <w:t>Professor Alison M</w:t>
      </w:r>
      <w:r w:rsidR="00FC1E0B">
        <w:t>c</w:t>
      </w:r>
      <w:r>
        <w:t>C</w:t>
      </w:r>
      <w:r w:rsidR="00FC1E0B">
        <w:t>allum</w:t>
      </w:r>
      <w:r w:rsidR="004726B7">
        <w:t>,</w:t>
      </w:r>
      <w:r>
        <w:t xml:space="preserve"> Director of Public Health, NHS Lothian. </w:t>
      </w:r>
    </w:p>
    <w:p w:rsidR="0085778C" w:rsidRDefault="0085778C" w:rsidP="0085778C">
      <w:pPr>
        <w:pStyle w:val="ListParagraph"/>
        <w:spacing w:after="0"/>
        <w:jc w:val="both"/>
      </w:pPr>
    </w:p>
    <w:p w:rsidR="0085778C" w:rsidRDefault="0085778C" w:rsidP="0085778C">
      <w:pPr>
        <w:pStyle w:val="ListParagraph"/>
        <w:numPr>
          <w:ilvl w:val="0"/>
          <w:numId w:val="12"/>
        </w:numPr>
        <w:spacing w:after="0"/>
        <w:jc w:val="both"/>
      </w:pPr>
      <w:r>
        <w:t>For the Faculty of Public Health</w:t>
      </w:r>
      <w:r w:rsidR="00FC1E0B">
        <w:t>:</w:t>
      </w:r>
    </w:p>
    <w:p w:rsidR="00FC1E0B" w:rsidRDefault="004726B7" w:rsidP="0085778C">
      <w:pPr>
        <w:pStyle w:val="ListParagraph"/>
        <w:spacing w:after="0"/>
        <w:jc w:val="both"/>
      </w:pPr>
      <w:r>
        <w:t>Dr</w:t>
      </w:r>
      <w:r w:rsidR="0085778C">
        <w:t xml:space="preserve"> </w:t>
      </w:r>
      <w:r w:rsidR="00FC1E0B">
        <w:t>Emilia Crichton</w:t>
      </w:r>
      <w:r w:rsidR="0085778C">
        <w:t xml:space="preserve">, </w:t>
      </w:r>
      <w:r w:rsidR="0085778C" w:rsidRPr="0085778C">
        <w:t>Director</w:t>
      </w:r>
      <w:r w:rsidR="0085778C">
        <w:t xml:space="preserve"> of Public Health, NHS Greater Glasgow and Clyde</w:t>
      </w:r>
      <w:r>
        <w:t>.</w:t>
      </w:r>
    </w:p>
    <w:p w:rsidR="0085778C" w:rsidRDefault="0085778C" w:rsidP="0085778C">
      <w:pPr>
        <w:pStyle w:val="ListParagraph"/>
        <w:spacing w:after="0"/>
        <w:jc w:val="both"/>
      </w:pPr>
    </w:p>
    <w:p w:rsidR="0085778C" w:rsidRDefault="0085778C" w:rsidP="0085778C">
      <w:pPr>
        <w:pStyle w:val="ListParagraph"/>
        <w:numPr>
          <w:ilvl w:val="0"/>
          <w:numId w:val="12"/>
        </w:numPr>
        <w:spacing w:after="0"/>
        <w:jc w:val="both"/>
      </w:pPr>
      <w:r>
        <w:t>For c</w:t>
      </w:r>
      <w:r w:rsidR="00FC1E0B">
        <w:t>hild Public Health</w:t>
      </w:r>
      <w:r>
        <w:t xml:space="preserve"> issues:</w:t>
      </w:r>
    </w:p>
    <w:p w:rsidR="00FC1E0B" w:rsidRDefault="0085778C" w:rsidP="0085778C">
      <w:pPr>
        <w:spacing w:after="0"/>
        <w:ind w:firstLine="720"/>
        <w:jc w:val="both"/>
      </w:pPr>
      <w:r>
        <w:t>Dr</w:t>
      </w:r>
      <w:r w:rsidR="004726B7">
        <w:t xml:space="preserve"> </w:t>
      </w:r>
      <w:r w:rsidR="00FC1E0B">
        <w:t>Graham Mackenzie</w:t>
      </w:r>
      <w:r>
        <w:t>, Consultant in Public</w:t>
      </w:r>
      <w:r w:rsidR="004726B7">
        <w:t xml:space="preserve"> Health Medicine, NHS Lothian.</w:t>
      </w:r>
    </w:p>
    <w:p w:rsidR="004726B7" w:rsidRDefault="004726B7" w:rsidP="0085778C">
      <w:pPr>
        <w:spacing w:after="0"/>
        <w:ind w:firstLine="720"/>
        <w:jc w:val="both"/>
      </w:pPr>
    </w:p>
    <w:p w:rsidR="004726B7" w:rsidRDefault="004726B7" w:rsidP="004726B7">
      <w:pPr>
        <w:pStyle w:val="ListParagraph"/>
        <w:numPr>
          <w:ilvl w:val="0"/>
          <w:numId w:val="12"/>
        </w:numPr>
        <w:spacing w:after="0"/>
        <w:jc w:val="both"/>
      </w:pPr>
      <w:r>
        <w:t xml:space="preserve">For general enquiries: </w:t>
      </w:r>
    </w:p>
    <w:p w:rsidR="004726B7" w:rsidRDefault="004726B7" w:rsidP="004726B7">
      <w:pPr>
        <w:spacing w:after="0"/>
        <w:ind w:firstLine="720"/>
        <w:jc w:val="both"/>
      </w:pPr>
      <w:r>
        <w:t xml:space="preserve">Scottish Public Health Network (ScotPHN), NHS Health Scotland </w:t>
      </w:r>
    </w:p>
    <w:p w:rsidR="004726B7" w:rsidRDefault="004726B7" w:rsidP="004726B7">
      <w:pPr>
        <w:spacing w:after="0"/>
        <w:ind w:firstLine="720"/>
        <w:jc w:val="both"/>
      </w:pPr>
      <w:r>
        <w:t xml:space="preserve">Communications and Engagement Team </w:t>
      </w:r>
    </w:p>
    <w:p w:rsidR="004726B7" w:rsidRDefault="004726B7" w:rsidP="004726B7">
      <w:pPr>
        <w:spacing w:after="0"/>
        <w:ind w:firstLine="720"/>
        <w:jc w:val="both"/>
      </w:pPr>
      <w:r w:rsidRPr="004726B7">
        <w:t>07500 854</w:t>
      </w:r>
      <w:r>
        <w:t xml:space="preserve"> </w:t>
      </w:r>
      <w:r w:rsidRPr="004726B7">
        <w:t xml:space="preserve">574 </w:t>
      </w:r>
    </w:p>
    <w:p w:rsidR="004726B7" w:rsidRPr="008A477A" w:rsidRDefault="00BD31FE" w:rsidP="004726B7">
      <w:pPr>
        <w:spacing w:after="0"/>
        <w:ind w:firstLine="720"/>
        <w:jc w:val="both"/>
      </w:pPr>
      <w:hyperlink r:id="rId16" w:history="1">
        <w:r w:rsidR="004726B7" w:rsidRPr="00695869">
          <w:rPr>
            <w:rStyle w:val="Hyperlink"/>
          </w:rPr>
          <w:t>nhs.HealthScotland-Communications@nhs.net</w:t>
        </w:r>
      </w:hyperlink>
      <w:r w:rsidR="004726B7">
        <w:t xml:space="preserve"> </w:t>
      </w:r>
    </w:p>
    <w:sectPr w:rsidR="004726B7" w:rsidRPr="008A477A" w:rsidSect="0085778C">
      <w:pgSz w:w="11906" w:h="16838"/>
      <w:pgMar w:top="851"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DAB" w:rsidRDefault="00F91DAB" w:rsidP="00D25B50">
      <w:pPr>
        <w:spacing w:after="0" w:line="240" w:lineRule="auto"/>
      </w:pPr>
      <w:r>
        <w:separator/>
      </w:r>
    </w:p>
  </w:endnote>
  <w:endnote w:type="continuationSeparator" w:id="0">
    <w:p w:rsidR="00F91DAB" w:rsidRDefault="00F91DAB" w:rsidP="00D25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DAB" w:rsidRDefault="00F91DAB" w:rsidP="00D25B50">
      <w:pPr>
        <w:spacing w:after="0" w:line="240" w:lineRule="auto"/>
      </w:pPr>
      <w:r>
        <w:separator/>
      </w:r>
    </w:p>
  </w:footnote>
  <w:footnote w:type="continuationSeparator" w:id="0">
    <w:p w:rsidR="00F91DAB" w:rsidRDefault="00F91DAB" w:rsidP="00D25B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1B3"/>
    <w:multiLevelType w:val="hybridMultilevel"/>
    <w:tmpl w:val="AF642C04"/>
    <w:lvl w:ilvl="0" w:tplc="E3C4646C">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1284A"/>
    <w:multiLevelType w:val="hybridMultilevel"/>
    <w:tmpl w:val="9AB20DCA"/>
    <w:lvl w:ilvl="0" w:tplc="402E83FA">
      <w:start w:val="1"/>
      <w:numFmt w:val="bullet"/>
      <w:pStyle w:val="Bullet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B5320"/>
    <w:multiLevelType w:val="hybridMultilevel"/>
    <w:tmpl w:val="6E841BCC"/>
    <w:lvl w:ilvl="0" w:tplc="5D283A32">
      <w:start w:val="1"/>
      <w:numFmt w:val="bullet"/>
      <w:pStyle w:val="Sub-bulletbody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853233C"/>
    <w:multiLevelType w:val="hybridMultilevel"/>
    <w:tmpl w:val="D11E1726"/>
    <w:lvl w:ilvl="0" w:tplc="08090001">
      <w:start w:val="1"/>
      <w:numFmt w:val="bullet"/>
      <w:lvlText w:val=""/>
      <w:lvlJc w:val="left"/>
      <w:pPr>
        <w:ind w:left="162" w:hanging="360"/>
      </w:pPr>
      <w:rPr>
        <w:rFonts w:ascii="Symbol" w:hAnsi="Symbol" w:hint="default"/>
      </w:rPr>
    </w:lvl>
    <w:lvl w:ilvl="1" w:tplc="08090003">
      <w:start w:val="1"/>
      <w:numFmt w:val="bullet"/>
      <w:lvlText w:val="o"/>
      <w:lvlJc w:val="left"/>
      <w:pPr>
        <w:ind w:left="882" w:hanging="360"/>
      </w:pPr>
      <w:rPr>
        <w:rFonts w:ascii="Courier New" w:hAnsi="Courier New" w:cs="Courier New" w:hint="default"/>
      </w:rPr>
    </w:lvl>
    <w:lvl w:ilvl="2" w:tplc="08090005" w:tentative="1">
      <w:start w:val="1"/>
      <w:numFmt w:val="bullet"/>
      <w:lvlText w:val=""/>
      <w:lvlJc w:val="left"/>
      <w:pPr>
        <w:ind w:left="1602" w:hanging="360"/>
      </w:pPr>
      <w:rPr>
        <w:rFonts w:ascii="Wingdings" w:hAnsi="Wingdings" w:hint="default"/>
      </w:rPr>
    </w:lvl>
    <w:lvl w:ilvl="3" w:tplc="08090001" w:tentative="1">
      <w:start w:val="1"/>
      <w:numFmt w:val="bullet"/>
      <w:lvlText w:val=""/>
      <w:lvlJc w:val="left"/>
      <w:pPr>
        <w:ind w:left="2322" w:hanging="360"/>
      </w:pPr>
      <w:rPr>
        <w:rFonts w:ascii="Symbol" w:hAnsi="Symbol" w:hint="default"/>
      </w:rPr>
    </w:lvl>
    <w:lvl w:ilvl="4" w:tplc="08090003" w:tentative="1">
      <w:start w:val="1"/>
      <w:numFmt w:val="bullet"/>
      <w:lvlText w:val="o"/>
      <w:lvlJc w:val="left"/>
      <w:pPr>
        <w:ind w:left="3042" w:hanging="360"/>
      </w:pPr>
      <w:rPr>
        <w:rFonts w:ascii="Courier New" w:hAnsi="Courier New" w:cs="Courier New" w:hint="default"/>
      </w:rPr>
    </w:lvl>
    <w:lvl w:ilvl="5" w:tplc="08090005" w:tentative="1">
      <w:start w:val="1"/>
      <w:numFmt w:val="bullet"/>
      <w:lvlText w:val=""/>
      <w:lvlJc w:val="left"/>
      <w:pPr>
        <w:ind w:left="3762" w:hanging="360"/>
      </w:pPr>
      <w:rPr>
        <w:rFonts w:ascii="Wingdings" w:hAnsi="Wingdings" w:hint="default"/>
      </w:rPr>
    </w:lvl>
    <w:lvl w:ilvl="6" w:tplc="08090001" w:tentative="1">
      <w:start w:val="1"/>
      <w:numFmt w:val="bullet"/>
      <w:lvlText w:val=""/>
      <w:lvlJc w:val="left"/>
      <w:pPr>
        <w:ind w:left="4482" w:hanging="360"/>
      </w:pPr>
      <w:rPr>
        <w:rFonts w:ascii="Symbol" w:hAnsi="Symbol" w:hint="default"/>
      </w:rPr>
    </w:lvl>
    <w:lvl w:ilvl="7" w:tplc="08090003" w:tentative="1">
      <w:start w:val="1"/>
      <w:numFmt w:val="bullet"/>
      <w:lvlText w:val="o"/>
      <w:lvlJc w:val="left"/>
      <w:pPr>
        <w:ind w:left="5202" w:hanging="360"/>
      </w:pPr>
      <w:rPr>
        <w:rFonts w:ascii="Courier New" w:hAnsi="Courier New" w:cs="Courier New" w:hint="default"/>
      </w:rPr>
    </w:lvl>
    <w:lvl w:ilvl="8" w:tplc="08090005" w:tentative="1">
      <w:start w:val="1"/>
      <w:numFmt w:val="bullet"/>
      <w:lvlText w:val=""/>
      <w:lvlJc w:val="left"/>
      <w:pPr>
        <w:ind w:left="5922" w:hanging="360"/>
      </w:pPr>
      <w:rPr>
        <w:rFonts w:ascii="Wingdings" w:hAnsi="Wingdings" w:hint="default"/>
      </w:rPr>
    </w:lvl>
  </w:abstractNum>
  <w:abstractNum w:abstractNumId="4" w15:restartNumberingAfterBreak="0">
    <w:nsid w:val="32481EFD"/>
    <w:multiLevelType w:val="hybridMultilevel"/>
    <w:tmpl w:val="E98C249E"/>
    <w:lvl w:ilvl="0" w:tplc="75C81E86">
      <w:start w:val="1"/>
      <w:numFmt w:val="bullet"/>
      <w:pStyle w:val="Tablesub-bullet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4462ABC"/>
    <w:multiLevelType w:val="hybridMultilevel"/>
    <w:tmpl w:val="4F863FAC"/>
    <w:lvl w:ilvl="0" w:tplc="212AD3A2">
      <w:start w:val="1"/>
      <w:numFmt w:val="lowerRoman"/>
      <w:pStyle w:val="Tablesub-numbered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DB87D9E"/>
    <w:multiLevelType w:val="hybridMultilevel"/>
    <w:tmpl w:val="E8B298F4"/>
    <w:lvl w:ilvl="0" w:tplc="C10A2E88">
      <w:start w:val="1"/>
      <w:numFmt w:val="lowerRoman"/>
      <w:pStyle w:val="Sub-numberedbody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42E5144"/>
    <w:multiLevelType w:val="hybridMultilevel"/>
    <w:tmpl w:val="4FE434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3A07ED"/>
    <w:multiLevelType w:val="hybridMultilevel"/>
    <w:tmpl w:val="8D6E3036"/>
    <w:lvl w:ilvl="0" w:tplc="BDE45CA4">
      <w:start w:val="1"/>
      <w:numFmt w:val="decimal"/>
      <w:pStyle w:val="Numberedbody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FA1E76"/>
    <w:multiLevelType w:val="hybridMultilevel"/>
    <w:tmpl w:val="5D0ACDBC"/>
    <w:lvl w:ilvl="0" w:tplc="6FA6BEC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6E5012B"/>
    <w:multiLevelType w:val="hybridMultilevel"/>
    <w:tmpl w:val="2EB2BD3E"/>
    <w:lvl w:ilvl="0" w:tplc="7E7E0E7C">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60203E"/>
    <w:multiLevelType w:val="hybridMultilevel"/>
    <w:tmpl w:val="99BC47F6"/>
    <w:lvl w:ilvl="0" w:tplc="9DD0DBF4">
      <w:start w:val="1"/>
      <w:numFmt w:val="decimal"/>
      <w:pStyle w:val="Tablenumbered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6"/>
  </w:num>
  <w:num w:numId="5">
    <w:abstractNumId w:val="0"/>
  </w:num>
  <w:num w:numId="6">
    <w:abstractNumId w:val="11"/>
  </w:num>
  <w:num w:numId="7">
    <w:abstractNumId w:val="4"/>
  </w:num>
  <w:num w:numId="8">
    <w:abstractNumId w:val="5"/>
  </w:num>
  <w:num w:numId="9">
    <w:abstractNumId w:val="3"/>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6A9"/>
    <w:rsid w:val="0003231D"/>
    <w:rsid w:val="00085F30"/>
    <w:rsid w:val="000866B9"/>
    <w:rsid w:val="000B5054"/>
    <w:rsid w:val="000B7B14"/>
    <w:rsid w:val="000C6EB6"/>
    <w:rsid w:val="000D66A9"/>
    <w:rsid w:val="0010680F"/>
    <w:rsid w:val="00106EF1"/>
    <w:rsid w:val="00112265"/>
    <w:rsid w:val="00120525"/>
    <w:rsid w:val="0013180F"/>
    <w:rsid w:val="00140405"/>
    <w:rsid w:val="001675F3"/>
    <w:rsid w:val="00172860"/>
    <w:rsid w:val="001729BB"/>
    <w:rsid w:val="00175C38"/>
    <w:rsid w:val="00181856"/>
    <w:rsid w:val="00186039"/>
    <w:rsid w:val="00193FA8"/>
    <w:rsid w:val="001A170A"/>
    <w:rsid w:val="001A496F"/>
    <w:rsid w:val="001D1890"/>
    <w:rsid w:val="001E602B"/>
    <w:rsid w:val="001E6745"/>
    <w:rsid w:val="00211339"/>
    <w:rsid w:val="00211922"/>
    <w:rsid w:val="00227009"/>
    <w:rsid w:val="002446F4"/>
    <w:rsid w:val="00244AF4"/>
    <w:rsid w:val="00292E79"/>
    <w:rsid w:val="002C5F99"/>
    <w:rsid w:val="002D1027"/>
    <w:rsid w:val="002D6BBA"/>
    <w:rsid w:val="002E2303"/>
    <w:rsid w:val="002E63B4"/>
    <w:rsid w:val="002E6736"/>
    <w:rsid w:val="00307C29"/>
    <w:rsid w:val="0031160D"/>
    <w:rsid w:val="00315BCA"/>
    <w:rsid w:val="003347DA"/>
    <w:rsid w:val="0033754D"/>
    <w:rsid w:val="00347701"/>
    <w:rsid w:val="00352307"/>
    <w:rsid w:val="00373501"/>
    <w:rsid w:val="0038233D"/>
    <w:rsid w:val="00382649"/>
    <w:rsid w:val="00391899"/>
    <w:rsid w:val="003A1B0D"/>
    <w:rsid w:val="003C5ECF"/>
    <w:rsid w:val="003E33A5"/>
    <w:rsid w:val="003F037A"/>
    <w:rsid w:val="00400414"/>
    <w:rsid w:val="00401B91"/>
    <w:rsid w:val="00420325"/>
    <w:rsid w:val="00427A1A"/>
    <w:rsid w:val="0043239C"/>
    <w:rsid w:val="00451918"/>
    <w:rsid w:val="0046387F"/>
    <w:rsid w:val="004726B7"/>
    <w:rsid w:val="00477FEB"/>
    <w:rsid w:val="0048525F"/>
    <w:rsid w:val="004945EF"/>
    <w:rsid w:val="00497670"/>
    <w:rsid w:val="004B30D0"/>
    <w:rsid w:val="004C427D"/>
    <w:rsid w:val="004C4F88"/>
    <w:rsid w:val="004D0601"/>
    <w:rsid w:val="004E04EF"/>
    <w:rsid w:val="004E5E5E"/>
    <w:rsid w:val="00505C29"/>
    <w:rsid w:val="00515FE4"/>
    <w:rsid w:val="00521A90"/>
    <w:rsid w:val="005229A2"/>
    <w:rsid w:val="0052739D"/>
    <w:rsid w:val="00537B9A"/>
    <w:rsid w:val="0056196C"/>
    <w:rsid w:val="00562226"/>
    <w:rsid w:val="005C0D9C"/>
    <w:rsid w:val="005C59C3"/>
    <w:rsid w:val="005D5A5A"/>
    <w:rsid w:val="00613A14"/>
    <w:rsid w:val="006415A4"/>
    <w:rsid w:val="00645AD2"/>
    <w:rsid w:val="006602F3"/>
    <w:rsid w:val="006712C0"/>
    <w:rsid w:val="00686DE9"/>
    <w:rsid w:val="006979F9"/>
    <w:rsid w:val="006C3EFA"/>
    <w:rsid w:val="006C69CC"/>
    <w:rsid w:val="006D124E"/>
    <w:rsid w:val="00714FEC"/>
    <w:rsid w:val="00723AFA"/>
    <w:rsid w:val="00730209"/>
    <w:rsid w:val="0074523E"/>
    <w:rsid w:val="007459AB"/>
    <w:rsid w:val="00766141"/>
    <w:rsid w:val="0079560F"/>
    <w:rsid w:val="007A67F6"/>
    <w:rsid w:val="007A7D51"/>
    <w:rsid w:val="007F0522"/>
    <w:rsid w:val="00801D27"/>
    <w:rsid w:val="00803707"/>
    <w:rsid w:val="00835EB3"/>
    <w:rsid w:val="0084596C"/>
    <w:rsid w:val="0085778C"/>
    <w:rsid w:val="00866397"/>
    <w:rsid w:val="00894CB7"/>
    <w:rsid w:val="008A047C"/>
    <w:rsid w:val="008A43C1"/>
    <w:rsid w:val="008A477A"/>
    <w:rsid w:val="00901272"/>
    <w:rsid w:val="00912B85"/>
    <w:rsid w:val="00937026"/>
    <w:rsid w:val="009D7E7F"/>
    <w:rsid w:val="009E3BB3"/>
    <w:rsid w:val="009E5641"/>
    <w:rsid w:val="009E7C53"/>
    <w:rsid w:val="009F58EB"/>
    <w:rsid w:val="00A46C5D"/>
    <w:rsid w:val="00A72F88"/>
    <w:rsid w:val="00A77C1D"/>
    <w:rsid w:val="00AB0529"/>
    <w:rsid w:val="00AC7878"/>
    <w:rsid w:val="00B06AEE"/>
    <w:rsid w:val="00B1206B"/>
    <w:rsid w:val="00B366F3"/>
    <w:rsid w:val="00B51E30"/>
    <w:rsid w:val="00B64DA3"/>
    <w:rsid w:val="00B6594E"/>
    <w:rsid w:val="00B8717F"/>
    <w:rsid w:val="00B91A75"/>
    <w:rsid w:val="00B94561"/>
    <w:rsid w:val="00BA08ED"/>
    <w:rsid w:val="00BB0209"/>
    <w:rsid w:val="00BB1323"/>
    <w:rsid w:val="00BB5978"/>
    <w:rsid w:val="00BC3715"/>
    <w:rsid w:val="00BD31FE"/>
    <w:rsid w:val="00BE6252"/>
    <w:rsid w:val="00BF3F19"/>
    <w:rsid w:val="00C02967"/>
    <w:rsid w:val="00C059A2"/>
    <w:rsid w:val="00C26E4D"/>
    <w:rsid w:val="00C27630"/>
    <w:rsid w:val="00C3025E"/>
    <w:rsid w:val="00C564DC"/>
    <w:rsid w:val="00C60191"/>
    <w:rsid w:val="00C81746"/>
    <w:rsid w:val="00CC4236"/>
    <w:rsid w:val="00CD1081"/>
    <w:rsid w:val="00CD20E2"/>
    <w:rsid w:val="00CE5C70"/>
    <w:rsid w:val="00D1284E"/>
    <w:rsid w:val="00D25B50"/>
    <w:rsid w:val="00D26A1A"/>
    <w:rsid w:val="00D279C4"/>
    <w:rsid w:val="00D41D62"/>
    <w:rsid w:val="00D434C4"/>
    <w:rsid w:val="00D86485"/>
    <w:rsid w:val="00D90792"/>
    <w:rsid w:val="00D972DE"/>
    <w:rsid w:val="00DA1227"/>
    <w:rsid w:val="00DB4926"/>
    <w:rsid w:val="00DD36B1"/>
    <w:rsid w:val="00DD501D"/>
    <w:rsid w:val="00DE00BD"/>
    <w:rsid w:val="00DE193A"/>
    <w:rsid w:val="00DE54F8"/>
    <w:rsid w:val="00DF6EDB"/>
    <w:rsid w:val="00E15B8E"/>
    <w:rsid w:val="00E16CCF"/>
    <w:rsid w:val="00E26915"/>
    <w:rsid w:val="00E44A15"/>
    <w:rsid w:val="00E600FD"/>
    <w:rsid w:val="00E76892"/>
    <w:rsid w:val="00E91614"/>
    <w:rsid w:val="00E91D77"/>
    <w:rsid w:val="00F17A93"/>
    <w:rsid w:val="00F42410"/>
    <w:rsid w:val="00F42FC0"/>
    <w:rsid w:val="00F76F61"/>
    <w:rsid w:val="00F87672"/>
    <w:rsid w:val="00F904B3"/>
    <w:rsid w:val="00F91DAB"/>
    <w:rsid w:val="00FA02F9"/>
    <w:rsid w:val="00FA6955"/>
    <w:rsid w:val="00FC1E0B"/>
    <w:rsid w:val="00FC3F94"/>
    <w:rsid w:val="00FD32F6"/>
    <w:rsid w:val="00FD4F58"/>
    <w:rsid w:val="00FE1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877C23-1D16-42F7-9772-52A7F847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FA"/>
    <w:pPr>
      <w:spacing w:after="160" w:line="259" w:lineRule="auto"/>
    </w:pPr>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 head"/>
    <w:next w:val="Normal"/>
    <w:uiPriority w:val="99"/>
    <w:qFormat/>
    <w:rsid w:val="00244AF4"/>
    <w:pPr>
      <w:spacing w:after="120" w:line="360" w:lineRule="auto"/>
    </w:pPr>
    <w:rPr>
      <w:rFonts w:ascii="Arial" w:eastAsiaTheme="minorHAnsi" w:hAnsi="Arial" w:cs="Arial"/>
      <w:b/>
      <w:sz w:val="48"/>
      <w:szCs w:val="24"/>
    </w:rPr>
  </w:style>
  <w:style w:type="paragraph" w:customStyle="1" w:styleId="Ahead">
    <w:name w:val="A head"/>
    <w:basedOn w:val="Sectionhead"/>
    <w:next w:val="Normal"/>
    <w:link w:val="AheadChar"/>
    <w:qFormat/>
    <w:rsid w:val="00244AF4"/>
    <w:rPr>
      <w:sz w:val="40"/>
    </w:rPr>
  </w:style>
  <w:style w:type="character" w:customStyle="1" w:styleId="AheadChar">
    <w:name w:val="A head Char"/>
    <w:basedOn w:val="DefaultParagraphFont"/>
    <w:link w:val="Ahead"/>
    <w:rsid w:val="00244AF4"/>
    <w:rPr>
      <w:rFonts w:ascii="Arial" w:eastAsiaTheme="minorHAnsi" w:hAnsi="Arial" w:cs="Arial"/>
      <w:b/>
      <w:sz w:val="40"/>
      <w:szCs w:val="24"/>
    </w:rPr>
  </w:style>
  <w:style w:type="paragraph" w:customStyle="1" w:styleId="Bhead">
    <w:name w:val="B head"/>
    <w:basedOn w:val="Ahead"/>
    <w:next w:val="Normal"/>
    <w:link w:val="BheadChar"/>
    <w:qFormat/>
    <w:rsid w:val="00244AF4"/>
    <w:rPr>
      <w:rFonts w:eastAsia="Cambria"/>
      <w:b w:val="0"/>
      <w:color w:val="002060"/>
      <w:sz w:val="32"/>
    </w:rPr>
  </w:style>
  <w:style w:type="character" w:customStyle="1" w:styleId="BheadChar">
    <w:name w:val="B head Char"/>
    <w:basedOn w:val="DefaultParagraphFont"/>
    <w:link w:val="Bhead"/>
    <w:rsid w:val="00244AF4"/>
    <w:rPr>
      <w:rFonts w:ascii="Arial" w:eastAsia="Cambria" w:hAnsi="Arial" w:cs="Arial"/>
      <w:color w:val="002060"/>
      <w:sz w:val="32"/>
      <w:szCs w:val="24"/>
    </w:rPr>
  </w:style>
  <w:style w:type="character" w:customStyle="1" w:styleId="Bodytextbold">
    <w:name w:val="Body text bold"/>
    <w:basedOn w:val="DefaultParagraphFont"/>
    <w:uiPriority w:val="1"/>
    <w:qFormat/>
    <w:rsid w:val="00244AF4"/>
    <w:rPr>
      <w:b/>
    </w:rPr>
  </w:style>
  <w:style w:type="character" w:customStyle="1" w:styleId="Bodytextitalic">
    <w:name w:val="Body text italic"/>
    <w:basedOn w:val="DefaultParagraphFont"/>
    <w:uiPriority w:val="1"/>
    <w:qFormat/>
    <w:rsid w:val="00244AF4"/>
    <w:rPr>
      <w:i/>
    </w:rPr>
  </w:style>
  <w:style w:type="paragraph" w:customStyle="1" w:styleId="BodyText1">
    <w:name w:val="Body Text1"/>
    <w:qFormat/>
    <w:rsid w:val="00244AF4"/>
    <w:pPr>
      <w:autoSpaceDE w:val="0"/>
      <w:autoSpaceDN w:val="0"/>
      <w:adjustRightInd w:val="0"/>
      <w:spacing w:line="360" w:lineRule="auto"/>
    </w:pPr>
    <w:rPr>
      <w:rFonts w:ascii="Arial" w:eastAsiaTheme="minorHAnsi" w:hAnsi="Arial" w:cs="Arial"/>
      <w:sz w:val="24"/>
      <w:szCs w:val="24"/>
    </w:rPr>
  </w:style>
  <w:style w:type="paragraph" w:customStyle="1" w:styleId="Bulletbodytext">
    <w:name w:val="Bullet body text"/>
    <w:basedOn w:val="BodyText1"/>
    <w:uiPriority w:val="99"/>
    <w:qFormat/>
    <w:rsid w:val="00244AF4"/>
    <w:pPr>
      <w:numPr>
        <w:numId w:val="1"/>
      </w:numPr>
    </w:pPr>
  </w:style>
  <w:style w:type="paragraph" w:customStyle="1" w:styleId="Chead">
    <w:name w:val="C head"/>
    <w:basedOn w:val="Bhead"/>
    <w:next w:val="Normal"/>
    <w:link w:val="CheadChar"/>
    <w:qFormat/>
    <w:rsid w:val="00244AF4"/>
    <w:rPr>
      <w:b/>
      <w:sz w:val="28"/>
    </w:rPr>
  </w:style>
  <w:style w:type="character" w:customStyle="1" w:styleId="CheadChar">
    <w:name w:val="C head Char"/>
    <w:basedOn w:val="DefaultParagraphFont"/>
    <w:link w:val="Chead"/>
    <w:rsid w:val="00244AF4"/>
    <w:rPr>
      <w:rFonts w:ascii="Arial" w:eastAsia="Cambria" w:hAnsi="Arial" w:cs="Arial"/>
      <w:b/>
      <w:color w:val="002060"/>
      <w:sz w:val="28"/>
      <w:szCs w:val="24"/>
    </w:rPr>
  </w:style>
  <w:style w:type="character" w:customStyle="1" w:styleId="Captionbold">
    <w:name w:val="Caption bold"/>
    <w:basedOn w:val="DefaultParagraphFont"/>
    <w:uiPriority w:val="1"/>
    <w:rsid w:val="00244AF4"/>
    <w:rPr>
      <w:b/>
    </w:rPr>
  </w:style>
  <w:style w:type="character" w:customStyle="1" w:styleId="Captionitalic">
    <w:name w:val="Caption italic"/>
    <w:basedOn w:val="DefaultParagraphFont"/>
    <w:uiPriority w:val="1"/>
    <w:rsid w:val="00244AF4"/>
    <w:rPr>
      <w:i/>
    </w:rPr>
  </w:style>
  <w:style w:type="paragraph" w:customStyle="1" w:styleId="Captiontext">
    <w:name w:val="Caption text"/>
    <w:basedOn w:val="BodyText1"/>
    <w:next w:val="BodyText1"/>
    <w:link w:val="CaptiontextChar"/>
    <w:qFormat/>
    <w:rsid w:val="00244AF4"/>
    <w:rPr>
      <w:rFonts w:ascii="Arial Narrow" w:eastAsia="Cambria" w:hAnsi="Arial Narrow" w:cs="Times New Roman"/>
      <w:sz w:val="28"/>
    </w:rPr>
  </w:style>
  <w:style w:type="character" w:customStyle="1" w:styleId="CaptiontextChar">
    <w:name w:val="Caption text Char"/>
    <w:basedOn w:val="DefaultParagraphFont"/>
    <w:link w:val="Captiontext"/>
    <w:rsid w:val="00244AF4"/>
    <w:rPr>
      <w:rFonts w:ascii="Arial Narrow" w:eastAsia="Cambria" w:hAnsi="Arial Narrow"/>
      <w:sz w:val="28"/>
      <w:szCs w:val="24"/>
    </w:rPr>
  </w:style>
  <w:style w:type="paragraph" w:customStyle="1" w:styleId="Dhead">
    <w:name w:val="D head"/>
    <w:basedOn w:val="Chead"/>
    <w:next w:val="BodyText1"/>
    <w:link w:val="DheadChar"/>
    <w:qFormat/>
    <w:rsid w:val="00244AF4"/>
    <w:rPr>
      <w:rFonts w:cs="Times New Roman"/>
      <w:b w:val="0"/>
    </w:rPr>
  </w:style>
  <w:style w:type="character" w:customStyle="1" w:styleId="DheadChar">
    <w:name w:val="D head Char"/>
    <w:basedOn w:val="DefaultParagraphFont"/>
    <w:link w:val="Dhead"/>
    <w:rsid w:val="00244AF4"/>
    <w:rPr>
      <w:rFonts w:ascii="Arial" w:eastAsia="Cambria" w:hAnsi="Arial"/>
      <w:color w:val="002060"/>
      <w:sz w:val="28"/>
      <w:szCs w:val="24"/>
    </w:rPr>
  </w:style>
  <w:style w:type="paragraph" w:styleId="Footer">
    <w:name w:val="footer"/>
    <w:basedOn w:val="BodyText1"/>
    <w:link w:val="FooterChar"/>
    <w:uiPriority w:val="99"/>
    <w:unhideWhenUsed/>
    <w:rsid w:val="00244AF4"/>
    <w:pP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244AF4"/>
    <w:rPr>
      <w:rFonts w:ascii="Arial" w:eastAsiaTheme="minorHAnsi" w:hAnsi="Arial" w:cs="Arial"/>
      <w:szCs w:val="24"/>
    </w:rPr>
  </w:style>
  <w:style w:type="paragraph" w:customStyle="1" w:styleId="footnote">
    <w:name w:val="footnote"/>
    <w:basedOn w:val="BodyText1"/>
    <w:qFormat/>
    <w:rsid w:val="00244AF4"/>
    <w:pPr>
      <w:spacing w:line="240" w:lineRule="auto"/>
    </w:pPr>
    <w:rPr>
      <w:sz w:val="22"/>
      <w:szCs w:val="22"/>
    </w:rPr>
  </w:style>
  <w:style w:type="character" w:styleId="Hyperlink">
    <w:name w:val="Hyperlink"/>
    <w:basedOn w:val="DefaultParagraphFont"/>
    <w:uiPriority w:val="99"/>
    <w:unhideWhenUsed/>
    <w:rsid w:val="00244AF4"/>
    <w:rPr>
      <w:color w:val="0000FF" w:themeColor="hyperlink"/>
      <w:u w:val="none"/>
    </w:rPr>
  </w:style>
  <w:style w:type="paragraph" w:customStyle="1" w:styleId="Numberedbodytext">
    <w:name w:val="Numbered body text"/>
    <w:basedOn w:val="Bulletbodytext"/>
    <w:uiPriority w:val="99"/>
    <w:qFormat/>
    <w:rsid w:val="00244AF4"/>
    <w:pPr>
      <w:numPr>
        <w:numId w:val="2"/>
      </w:numPr>
    </w:pPr>
  </w:style>
  <w:style w:type="paragraph" w:customStyle="1" w:styleId="Quotetext">
    <w:name w:val="Quote text"/>
    <w:basedOn w:val="BodyText1"/>
    <w:qFormat/>
    <w:rsid w:val="00244AF4"/>
    <w:pPr>
      <w:ind w:left="480"/>
    </w:pPr>
  </w:style>
  <w:style w:type="paragraph" w:customStyle="1" w:styleId="Quotesource">
    <w:name w:val="Quote source"/>
    <w:basedOn w:val="Quotetext"/>
    <w:next w:val="BodyText1"/>
    <w:qFormat/>
    <w:rsid w:val="00244AF4"/>
    <w:rPr>
      <w:rFonts w:ascii="Arial Narrow" w:hAnsi="Arial Narrow"/>
    </w:rPr>
  </w:style>
  <w:style w:type="paragraph" w:customStyle="1" w:styleId="Sub-bulletbodytext">
    <w:name w:val="Sub-bullet body text"/>
    <w:basedOn w:val="Bulletbodytext"/>
    <w:uiPriority w:val="99"/>
    <w:qFormat/>
    <w:rsid w:val="00244AF4"/>
    <w:pPr>
      <w:numPr>
        <w:numId w:val="3"/>
      </w:numPr>
    </w:pPr>
  </w:style>
  <w:style w:type="paragraph" w:customStyle="1" w:styleId="Sub-numberedbodytext">
    <w:name w:val="Sub-numbered body text"/>
    <w:basedOn w:val="Numberedbodytext"/>
    <w:uiPriority w:val="99"/>
    <w:qFormat/>
    <w:rsid w:val="00244AF4"/>
    <w:pPr>
      <w:numPr>
        <w:numId w:val="4"/>
      </w:numPr>
    </w:pPr>
  </w:style>
  <w:style w:type="paragraph" w:customStyle="1" w:styleId="TableAhead">
    <w:name w:val="Table A head"/>
    <w:basedOn w:val="Bhead"/>
    <w:uiPriority w:val="99"/>
    <w:qFormat/>
    <w:rsid w:val="00244AF4"/>
    <w:pPr>
      <w:spacing w:before="440"/>
    </w:pPr>
    <w:rPr>
      <w:b/>
      <w:color w:val="auto"/>
    </w:rPr>
  </w:style>
  <w:style w:type="paragraph" w:customStyle="1" w:styleId="Tablebodytext">
    <w:name w:val="Table body text"/>
    <w:basedOn w:val="BodyText1"/>
    <w:uiPriority w:val="99"/>
    <w:qFormat/>
    <w:rsid w:val="00244AF4"/>
  </w:style>
  <w:style w:type="character" w:customStyle="1" w:styleId="Tablebold">
    <w:name w:val="Table bold"/>
    <w:basedOn w:val="DefaultParagraphFont"/>
    <w:uiPriority w:val="1"/>
    <w:rsid w:val="00244AF4"/>
    <w:rPr>
      <w:b/>
    </w:rPr>
  </w:style>
  <w:style w:type="paragraph" w:customStyle="1" w:styleId="Tablebullettext">
    <w:name w:val="Table bullet text"/>
    <w:basedOn w:val="Tablebodytext"/>
    <w:uiPriority w:val="99"/>
    <w:qFormat/>
    <w:rsid w:val="00244AF4"/>
    <w:pPr>
      <w:numPr>
        <w:numId w:val="5"/>
      </w:numPr>
    </w:pPr>
  </w:style>
  <w:style w:type="character" w:customStyle="1" w:styleId="Tableitalic">
    <w:name w:val="Table italic"/>
    <w:basedOn w:val="DefaultParagraphFont"/>
    <w:uiPriority w:val="1"/>
    <w:rsid w:val="00244AF4"/>
    <w:rPr>
      <w:i/>
    </w:rPr>
  </w:style>
  <w:style w:type="paragraph" w:customStyle="1" w:styleId="Tablenumberedtext">
    <w:name w:val="Table numbered text"/>
    <w:basedOn w:val="Tablebodytext"/>
    <w:uiPriority w:val="99"/>
    <w:qFormat/>
    <w:rsid w:val="00244AF4"/>
    <w:pPr>
      <w:numPr>
        <w:numId w:val="6"/>
      </w:numPr>
    </w:pPr>
  </w:style>
  <w:style w:type="paragraph" w:customStyle="1" w:styleId="Tablesub-bullettext">
    <w:name w:val="Table sub-bullet text"/>
    <w:basedOn w:val="Tablebullettext"/>
    <w:uiPriority w:val="99"/>
    <w:qFormat/>
    <w:rsid w:val="00244AF4"/>
    <w:pPr>
      <w:numPr>
        <w:numId w:val="7"/>
      </w:numPr>
    </w:pPr>
  </w:style>
  <w:style w:type="paragraph" w:customStyle="1" w:styleId="Tablesub-numberedtext">
    <w:name w:val="Table sub-numbered text"/>
    <w:basedOn w:val="Tablenumberedtext"/>
    <w:uiPriority w:val="99"/>
    <w:qFormat/>
    <w:rsid w:val="00244AF4"/>
    <w:pPr>
      <w:numPr>
        <w:numId w:val="8"/>
      </w:numPr>
    </w:pPr>
  </w:style>
  <w:style w:type="paragraph" w:styleId="ListParagraph">
    <w:name w:val="List Paragraph"/>
    <w:basedOn w:val="Normal"/>
    <w:uiPriority w:val="34"/>
    <w:qFormat/>
    <w:rsid w:val="000D66A9"/>
    <w:pPr>
      <w:ind w:left="720"/>
      <w:contextualSpacing/>
    </w:pPr>
  </w:style>
  <w:style w:type="paragraph" w:styleId="BalloonText">
    <w:name w:val="Balloon Text"/>
    <w:basedOn w:val="Normal"/>
    <w:link w:val="BalloonTextChar"/>
    <w:rsid w:val="00C0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02967"/>
    <w:rPr>
      <w:rFonts w:ascii="Tahoma" w:hAnsi="Tahoma" w:cs="Tahoma"/>
      <w:sz w:val="16"/>
      <w:szCs w:val="16"/>
      <w:lang w:eastAsia="en-US"/>
    </w:rPr>
  </w:style>
  <w:style w:type="paragraph" w:styleId="EndnoteText">
    <w:name w:val="endnote text"/>
    <w:basedOn w:val="Normal"/>
    <w:link w:val="EndnoteTextChar"/>
    <w:semiHidden/>
    <w:unhideWhenUsed/>
    <w:rsid w:val="00D25B50"/>
    <w:pPr>
      <w:spacing w:after="0" w:line="240" w:lineRule="auto"/>
    </w:pPr>
    <w:rPr>
      <w:sz w:val="20"/>
      <w:szCs w:val="20"/>
    </w:rPr>
  </w:style>
  <w:style w:type="character" w:customStyle="1" w:styleId="EndnoteTextChar">
    <w:name w:val="Endnote Text Char"/>
    <w:basedOn w:val="DefaultParagraphFont"/>
    <w:link w:val="EndnoteText"/>
    <w:semiHidden/>
    <w:rsid w:val="00D25B50"/>
    <w:rPr>
      <w:rFonts w:ascii="Arial" w:hAnsi="Arial"/>
      <w:lang w:eastAsia="en-US"/>
    </w:rPr>
  </w:style>
  <w:style w:type="character" w:styleId="EndnoteReference">
    <w:name w:val="endnote reference"/>
    <w:basedOn w:val="DefaultParagraphFont"/>
    <w:semiHidden/>
    <w:unhideWhenUsed/>
    <w:rsid w:val="00D25B50"/>
    <w:rPr>
      <w:vertAlign w:val="superscript"/>
    </w:rPr>
  </w:style>
  <w:style w:type="paragraph" w:styleId="FootnoteText">
    <w:name w:val="footnote text"/>
    <w:basedOn w:val="Normal"/>
    <w:link w:val="FootnoteTextChar"/>
    <w:semiHidden/>
    <w:unhideWhenUsed/>
    <w:rsid w:val="00D25B50"/>
    <w:pPr>
      <w:spacing w:after="0" w:line="240" w:lineRule="auto"/>
    </w:pPr>
    <w:rPr>
      <w:sz w:val="20"/>
      <w:szCs w:val="20"/>
    </w:rPr>
  </w:style>
  <w:style w:type="character" w:customStyle="1" w:styleId="FootnoteTextChar">
    <w:name w:val="Footnote Text Char"/>
    <w:basedOn w:val="DefaultParagraphFont"/>
    <w:link w:val="FootnoteText"/>
    <w:semiHidden/>
    <w:rsid w:val="00D25B50"/>
    <w:rPr>
      <w:rFonts w:ascii="Arial" w:hAnsi="Arial"/>
      <w:lang w:eastAsia="en-US"/>
    </w:rPr>
  </w:style>
  <w:style w:type="character" w:styleId="FootnoteReference">
    <w:name w:val="footnote reference"/>
    <w:basedOn w:val="DefaultParagraphFont"/>
    <w:semiHidden/>
    <w:unhideWhenUsed/>
    <w:rsid w:val="00D25B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ations.parliament.uk/pa/cm201516/cmselect/cmhealth/465/465.pdf" TargetMode="External"/><Relationship Id="rId13" Type="http://schemas.openxmlformats.org/officeDocument/2006/relationships/hyperlink" Target="http://bmaopac.hosted.exlibrisgroup.com/exlibris/aleph/a21_1/apache_media/7CY7PA145G9D95CXKXVPKPYBP7JS6I.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omrc.org.uk/doc_view/9673-measuring-u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hs.HealthScotland-Communications@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uploads/system/uploads/attachment_data/file/470179/Sugar_reduction_The_evidence_for_action.pdf" TargetMode="External"/><Relationship Id="rId5" Type="http://schemas.openxmlformats.org/officeDocument/2006/relationships/webSettings" Target="webSettings.xml"/><Relationship Id="rId15" Type="http://schemas.openxmlformats.org/officeDocument/2006/relationships/hyperlink" Target="http://www.pulsetoday.co.uk/news/political-news/seven-out-of-ten-gps-back-a-sugar-tax/20030346.article" TargetMode="External"/><Relationship Id="rId10" Type="http://schemas.openxmlformats.org/officeDocument/2006/relationships/hyperlink" Target="http://www.scotphn.net/wp-content/uploads/2015/09/2015_01_29_CHW_Report_to_Scottish_Government_Final.pdf" TargetMode="External"/><Relationship Id="rId4" Type="http://schemas.openxmlformats.org/officeDocument/2006/relationships/settings" Target="settings.xml"/><Relationship Id="rId9" Type="http://schemas.openxmlformats.org/officeDocument/2006/relationships/hyperlink" Target="http://www.scotphn.net/wp-content/uploads/2015/11/2015_11_13-Final-Report.pdf" TargetMode="External"/><Relationship Id="rId14" Type="http://schemas.openxmlformats.org/officeDocument/2006/relationships/hyperlink" Target="https://www.bda.org/sug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B873A-B70A-4C45-A9DD-1CA434B4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 Health Scotland</Company>
  <LinksUpToDate>false</LinksUpToDate>
  <CharactersWithSpaces>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Mackie</dc:creator>
  <cp:lastModifiedBy>Ann Conacher</cp:lastModifiedBy>
  <cp:revision>3</cp:revision>
  <dcterms:created xsi:type="dcterms:W3CDTF">2015-12-04T17:00:00Z</dcterms:created>
  <dcterms:modified xsi:type="dcterms:W3CDTF">2015-12-07T09:22:00Z</dcterms:modified>
</cp:coreProperties>
</file>